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EC976" w14:textId="5DFC1089" w:rsidR="00547061" w:rsidRPr="00547061" w:rsidRDefault="00547061" w:rsidP="00547061">
      <w:pPr>
        <w:tabs>
          <w:tab w:val="center" w:pos="4536"/>
          <w:tab w:val="right" w:pos="8280"/>
          <w:tab w:val="right" w:pos="9639"/>
        </w:tabs>
        <w:ind w:right="2"/>
        <w:rPr>
          <w:rFonts w:ascii="Arial" w:hAnsi="Arial" w:cs="Arial"/>
          <w:b/>
          <w:bCs/>
          <w:sz w:val="24"/>
        </w:rPr>
      </w:pPr>
      <w:r w:rsidRPr="00547061">
        <w:rPr>
          <w:rFonts w:ascii="Arial" w:hAnsi="Arial" w:cs="Arial"/>
          <w:b/>
          <w:bCs/>
          <w:sz w:val="24"/>
        </w:rPr>
        <w:t>3GPP TSG RAN WG1 Meeting #92bis</w:t>
      </w:r>
      <w:r>
        <w:rPr>
          <w:rFonts w:ascii="Arial" w:hAnsi="Arial" w:cs="Arial"/>
          <w:b/>
          <w:bCs/>
          <w:sz w:val="24"/>
        </w:rPr>
        <w:t xml:space="preserve">                                                            </w:t>
      </w:r>
      <w:r w:rsidRPr="00547061">
        <w:rPr>
          <w:rFonts w:ascii="Arial" w:hAnsi="Arial" w:cs="Arial"/>
          <w:b/>
          <w:bCs/>
          <w:sz w:val="24"/>
        </w:rPr>
        <w:t>R1-</w:t>
      </w:r>
      <w:r w:rsidR="00297D26" w:rsidRPr="00297D26">
        <w:rPr>
          <w:rFonts w:ascii="Arial" w:hAnsi="Arial" w:cs="Arial"/>
          <w:b/>
          <w:bCs/>
          <w:sz w:val="24"/>
        </w:rPr>
        <w:t>1804219</w:t>
      </w:r>
    </w:p>
    <w:p w14:paraId="00135930" w14:textId="77777777" w:rsidR="00547061" w:rsidRPr="00547061" w:rsidRDefault="00547061" w:rsidP="00547061">
      <w:pPr>
        <w:tabs>
          <w:tab w:val="center" w:pos="4536"/>
          <w:tab w:val="right" w:pos="9072"/>
        </w:tabs>
        <w:rPr>
          <w:rFonts w:ascii="Arial" w:hAnsi="Arial" w:cs="Arial"/>
          <w:b/>
          <w:bCs/>
          <w:sz w:val="24"/>
          <w:lang w:eastAsia="ja-JP"/>
        </w:rPr>
      </w:pPr>
      <w:r w:rsidRPr="00547061">
        <w:rPr>
          <w:rFonts w:ascii="Arial" w:hAnsi="Arial" w:cs="Arial"/>
          <w:b/>
          <w:bCs/>
          <w:sz w:val="24"/>
          <w:lang w:eastAsia="ja-JP"/>
        </w:rPr>
        <w:t>Sanya, China, April 16</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 20</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2018 </w:t>
      </w:r>
    </w:p>
    <w:p w14:paraId="3638496C" w14:textId="77777777" w:rsidR="002E6B5E" w:rsidRPr="00547061" w:rsidRDefault="002E6B5E" w:rsidP="002E6B5E">
      <w:pPr>
        <w:pStyle w:val="a4"/>
        <w:jc w:val="both"/>
        <w:rPr>
          <w:i w:val="0"/>
          <w:iCs/>
          <w:sz w:val="24"/>
          <w:szCs w:val="24"/>
          <w:lang w:eastAsia="ja-JP"/>
        </w:rPr>
      </w:pPr>
    </w:p>
    <w:p w14:paraId="4A685A40" w14:textId="0F57C302"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7061" w:rsidRPr="00547061">
        <w:rPr>
          <w:b/>
          <w:noProof/>
          <w:sz w:val="22"/>
          <w:szCs w:val="22"/>
          <w:lang w:val="en-US"/>
        </w:rPr>
        <w:t>7.1.3.1.4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2098058"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7061" w:rsidRPr="00547061">
        <w:rPr>
          <w:b/>
          <w:noProof/>
          <w:sz w:val="22"/>
          <w:szCs w:val="22"/>
          <w:lang w:val="en-US"/>
        </w:rPr>
        <w:t>Remaining issues on DCI contents and formats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06A48F13" w:rsidR="0092111D" w:rsidRPr="0092111D" w:rsidRDefault="00A14230" w:rsidP="0092111D">
      <w:pPr>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DCI sizes</w:t>
      </w:r>
      <w:r>
        <w:rPr>
          <w:lang w:eastAsia="ja-JP"/>
        </w:rPr>
        <w:t xml:space="preserve"> </w:t>
      </w:r>
      <w:r w:rsidR="00FC39EC">
        <w:rPr>
          <w:lang w:eastAsia="ja-JP"/>
        </w:rPr>
        <w:t>as listed below in the previous meetings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66BF4B5F" w14:textId="77777777" w:rsidR="000C34FA" w:rsidRDefault="000C34FA" w:rsidP="004A1EE9">
                            <w:pPr>
                              <w:rPr>
                                <w:b/>
                                <w:lang w:val="en-US" w:eastAsia="x-none"/>
                              </w:rPr>
                            </w:pPr>
                            <w:r>
                              <w:rPr>
                                <w:highlight w:val="green"/>
                                <w:lang w:eastAsia="x-none"/>
                              </w:rPr>
                              <w:t>Agreements</w:t>
                            </w:r>
                            <w:r>
                              <w:rPr>
                                <w:b/>
                                <w:lang w:eastAsia="x-none"/>
                              </w:rPr>
                              <w:t>:</w:t>
                            </w:r>
                          </w:p>
                          <w:p w14:paraId="53BB68FB" w14:textId="77777777" w:rsidR="000C34FA" w:rsidRDefault="000C34FA" w:rsidP="004A1EE9">
                            <w:pPr>
                              <w:pStyle w:val="af0"/>
                            </w:pPr>
                            <w:r>
                              <w:t>For one carrier:</w:t>
                            </w:r>
                          </w:p>
                          <w:p w14:paraId="57B74D7C" w14:textId="77777777" w:rsidR="000C34FA" w:rsidRDefault="000C34FA" w:rsidP="004A1EE9">
                            <w:pPr>
                              <w:pStyle w:val="af0"/>
                              <w:numPr>
                                <w:ilvl w:val="0"/>
                                <w:numId w:val="27"/>
                              </w:numPr>
                              <w:spacing w:after="120"/>
                              <w:jc w:val="both"/>
                            </w:pPr>
                            <w:r>
                              <w:t>(</w:t>
                            </w:r>
                            <w:r>
                              <w:rPr>
                                <w:highlight w:val="darkYellow"/>
                              </w:rPr>
                              <w:t>working assumption</w:t>
                            </w:r>
                            <w:r>
                              <w:t>) Payload sizes for 2-2 and 2-3 are padded (if needed) to match the size of formats 0-0/1-0 as defined by the initial BWP</w:t>
                            </w:r>
                          </w:p>
                          <w:p w14:paraId="2E2461E5" w14:textId="77777777" w:rsidR="000C34FA" w:rsidRDefault="000C34FA" w:rsidP="004A1EE9">
                            <w:pPr>
                              <w:pStyle w:val="af0"/>
                              <w:numPr>
                                <w:ilvl w:val="0"/>
                                <w:numId w:val="27"/>
                              </w:numPr>
                              <w:spacing w:after="120"/>
                              <w:jc w:val="both"/>
                            </w:pPr>
                            <w:r>
                              <w:t>(</w:t>
                            </w:r>
                            <w:r>
                              <w:rPr>
                                <w:highlight w:val="darkYellow"/>
                              </w:rPr>
                              <w:t>working assumption</w:t>
                            </w:r>
                            <w:r>
                              <w:t>) At most 4 different DCI sizes are monitored by the UE per slot</w:t>
                            </w:r>
                          </w:p>
                          <w:p w14:paraId="44CC4B7C" w14:textId="77777777" w:rsidR="000C34FA" w:rsidRDefault="000C34FA" w:rsidP="004A1EE9">
                            <w:pPr>
                              <w:pStyle w:val="af0"/>
                              <w:numPr>
                                <w:ilvl w:val="1"/>
                                <w:numId w:val="27"/>
                              </w:numPr>
                              <w:spacing w:after="120"/>
                              <w:jc w:val="both"/>
                            </w:pPr>
                            <w:r>
                              <w:t>At most 3 different DCI sizes are monitored per C-RNTI per slot</w:t>
                            </w:r>
                          </w:p>
                          <w:p w14:paraId="6C789DD9" w14:textId="77777777" w:rsidR="000C34FA" w:rsidRDefault="000C34FA" w:rsidP="004A1EE9">
                            <w:pPr>
                              <w:pStyle w:val="af0"/>
                              <w:numPr>
                                <w:ilvl w:val="0"/>
                                <w:numId w:val="27"/>
                              </w:numPr>
                              <w:spacing w:after="120"/>
                              <w:jc w:val="both"/>
                              <w:rPr>
                                <w:szCs w:val="24"/>
                              </w:rPr>
                            </w:pPr>
                            <w:r>
                              <w:t>Payload size for formats 0-1 and 1-1 may differ</w:t>
                            </w:r>
                          </w:p>
                          <w:p w14:paraId="69A57728" w14:textId="77777777" w:rsidR="000C34FA" w:rsidRDefault="000C34FA" w:rsidP="004A1EE9">
                            <w:pPr>
                              <w:pStyle w:val="af0"/>
                            </w:pPr>
                            <w:r>
                              <w:rPr>
                                <w:highlight w:val="green"/>
                              </w:rPr>
                              <w:t>Agreements</w:t>
                            </w:r>
                            <w:r>
                              <w:t>:</w:t>
                            </w:r>
                          </w:p>
                          <w:p w14:paraId="0BD9340B" w14:textId="77777777" w:rsidR="000C34FA" w:rsidRDefault="000C34FA" w:rsidP="004A1EE9">
                            <w:pPr>
                              <w:pStyle w:val="af0"/>
                              <w:numPr>
                                <w:ilvl w:val="0"/>
                                <w:numId w:val="25"/>
                              </w:numPr>
                              <w:spacing w:after="120"/>
                              <w:jc w:val="both"/>
                            </w:pPr>
                            <w:r>
                              <w:t xml:space="preserve">DCI formats 0-0/1-0, 0-1, and 1-1 can have different sizes. </w:t>
                            </w:r>
                          </w:p>
                          <w:p w14:paraId="26AE3CCD" w14:textId="77777777" w:rsidR="000C34FA" w:rsidRDefault="000C34FA" w:rsidP="004A1EE9">
                            <w:pPr>
                              <w:pStyle w:val="af0"/>
                              <w:numPr>
                                <w:ilvl w:val="0"/>
                                <w:numId w:val="25"/>
                              </w:numPr>
                              <w:spacing w:after="120"/>
                              <w:jc w:val="both"/>
                            </w:pPr>
                            <w:r>
                              <w:t>DCI formats 0-1 and 1-1 can be received in USS only. The size is determined by the active BWP.</w:t>
                            </w:r>
                          </w:p>
                          <w:p w14:paraId="055F3DCC" w14:textId="77777777" w:rsidR="000C34FA" w:rsidRDefault="000C34FA" w:rsidP="004A1EE9">
                            <w:pPr>
                              <w:pStyle w:val="af0"/>
                              <w:rPr>
                                <w:szCs w:val="24"/>
                              </w:rPr>
                            </w:pPr>
                            <w:r>
                              <w:rPr>
                                <w:highlight w:val="darkYellow"/>
                              </w:rPr>
                              <w:t>Working assumption</w:t>
                            </w:r>
                            <w:r>
                              <w:t>:</w:t>
                            </w:r>
                          </w:p>
                          <w:p w14:paraId="31D26CDD" w14:textId="77777777" w:rsidR="000C34FA" w:rsidRDefault="000C34FA" w:rsidP="004A1EE9">
                            <w:pPr>
                              <w:pStyle w:val="af0"/>
                              <w:numPr>
                                <w:ilvl w:val="0"/>
                                <w:numId w:val="26"/>
                              </w:numPr>
                              <w:spacing w:after="120"/>
                              <w:jc w:val="both"/>
                            </w:pPr>
                            <w:r>
                              <w:t>When monitoring for DCI in a BWP, the size of DCI format 0-0/1-0 is given by</w:t>
                            </w:r>
                          </w:p>
                          <w:p w14:paraId="70A72523" w14:textId="77777777" w:rsidR="000C34FA" w:rsidRDefault="000C34FA" w:rsidP="004A1EE9">
                            <w:pPr>
                              <w:pStyle w:val="af0"/>
                              <w:numPr>
                                <w:ilvl w:val="0"/>
                                <w:numId w:val="26"/>
                              </w:numPr>
                              <w:spacing w:after="120"/>
                              <w:ind w:left="1080"/>
                              <w:jc w:val="both"/>
                            </w:pPr>
                            <w:r>
                              <w:t>For format 0-0/1-0 (regardless of RNTI) in CSS, the size is given by the initial DL BWP</w:t>
                            </w:r>
                          </w:p>
                          <w:p w14:paraId="57489B29" w14:textId="77777777" w:rsidR="000C34FA" w:rsidRDefault="000C34FA" w:rsidP="004A1EE9">
                            <w:pPr>
                              <w:pStyle w:val="af0"/>
                              <w:numPr>
                                <w:ilvl w:val="0"/>
                                <w:numId w:val="26"/>
                              </w:numPr>
                              <w:spacing w:after="120"/>
                              <w:ind w:left="1080"/>
                              <w:jc w:val="both"/>
                            </w:pPr>
                            <w:r>
                              <w:t xml:space="preserve">For format 0-0/1-0 in USS, the size is given by the active BWP as long as the DCI size budget is fulfilled </w:t>
                            </w:r>
                          </w:p>
                          <w:p w14:paraId="17756005" w14:textId="77777777" w:rsidR="000C34FA" w:rsidRDefault="000C34FA" w:rsidP="004A1EE9">
                            <w:pPr>
                              <w:pStyle w:val="af0"/>
                              <w:numPr>
                                <w:ilvl w:val="1"/>
                                <w:numId w:val="26"/>
                              </w:numPr>
                              <w:spacing w:after="120"/>
                              <w:ind w:left="1800"/>
                              <w:jc w:val="both"/>
                            </w:pPr>
                            <w:r>
                              <w:t>FFS: Otherwise, for format 0-0/1-0, the size is given by the initial DL BWP</w:t>
                            </w:r>
                          </w:p>
                          <w:p w14:paraId="0CF1576B" w14:textId="77777777" w:rsidR="000C34FA" w:rsidRDefault="000C34FA" w:rsidP="004A1EE9">
                            <w:pPr>
                              <w:pStyle w:val="af0"/>
                              <w:numPr>
                                <w:ilvl w:val="0"/>
                                <w:numId w:val="26"/>
                              </w:numPr>
                              <w:spacing w:after="120"/>
                              <w:ind w:left="1080"/>
                              <w:jc w:val="both"/>
                            </w:pPr>
                            <w:r>
                              <w:t>FFS: how to meet the C-RNTI size and DCI size budget per slot</w:t>
                            </w:r>
                          </w:p>
                          <w:p w14:paraId="21B34ECF" w14:textId="77777777" w:rsidR="000C34FA" w:rsidRDefault="000C34FA" w:rsidP="004A1EE9">
                            <w:pPr>
                              <w:pStyle w:val="af0"/>
                              <w:numPr>
                                <w:ilvl w:val="1"/>
                                <w:numId w:val="26"/>
                              </w:numPr>
                              <w:spacing w:after="120"/>
                              <w:ind w:left="1800"/>
                              <w:jc w:val="both"/>
                            </w:pPr>
                            <w:r>
                              <w:t>align 0-1 and 1-1</w:t>
                            </w:r>
                          </w:p>
                          <w:p w14:paraId="76E311BE" w14:textId="77777777" w:rsidR="000C34FA" w:rsidRDefault="000C34FA" w:rsidP="004A1EE9">
                            <w:pPr>
                              <w:pStyle w:val="af0"/>
                              <w:numPr>
                                <w:ilvl w:val="1"/>
                                <w:numId w:val="26"/>
                              </w:numPr>
                              <w:spacing w:after="120"/>
                              <w:ind w:left="1800"/>
                              <w:jc w:val="both"/>
                            </w:pPr>
                            <w:r>
                              <w:t>configure active BWP such that the DCI size is the same as of the initial BWP</w:t>
                            </w:r>
                          </w:p>
                          <w:p w14:paraId="002CAF39" w14:textId="77777777" w:rsidR="000C34FA" w:rsidRDefault="000C34FA" w:rsidP="004A1EE9">
                            <w:pPr>
                              <w:pStyle w:val="af0"/>
                              <w:numPr>
                                <w:ilvl w:val="1"/>
                                <w:numId w:val="26"/>
                              </w:numPr>
                              <w:spacing w:after="120"/>
                              <w:ind w:left="1800"/>
                              <w:jc w:val="both"/>
                            </w:pPr>
                            <w:r>
                              <w:t>do not configure 0-1 and 1-1</w:t>
                            </w:r>
                          </w:p>
                          <w:p w14:paraId="4D4AC14C" w14:textId="77777777" w:rsidR="000C34FA" w:rsidRDefault="000C34FA" w:rsidP="004A1EE9">
                            <w:pPr>
                              <w:pStyle w:val="af0"/>
                              <w:numPr>
                                <w:ilvl w:val="1"/>
                                <w:numId w:val="26"/>
                              </w:numPr>
                              <w:spacing w:after="120"/>
                              <w:ind w:left="1800"/>
                              <w:jc w:val="both"/>
                            </w:pPr>
                            <w:r>
                              <w:t>do not configure 0-0/1-0 in USS</w:t>
                            </w:r>
                          </w:p>
                          <w:p w14:paraId="47E6652A" w14:textId="77777777" w:rsidR="000C34FA" w:rsidRDefault="000C34FA" w:rsidP="004A1EE9">
                            <w:pPr>
                              <w:pStyle w:val="af0"/>
                              <w:numPr>
                                <w:ilvl w:val="1"/>
                                <w:numId w:val="26"/>
                              </w:numPr>
                              <w:spacing w:after="120"/>
                              <w:ind w:left="1800"/>
                              <w:jc w:val="both"/>
                            </w:pPr>
                            <w:r>
                              <w:t>other are not precluded</w:t>
                            </w:r>
                          </w:p>
                          <w:p w14:paraId="6CC3DB57" w14:textId="77777777" w:rsidR="000C34FA" w:rsidRDefault="000C34FA" w:rsidP="004A1EE9">
                            <w:pPr>
                              <w:pStyle w:val="af0"/>
                              <w:numPr>
                                <w:ilvl w:val="0"/>
                                <w:numId w:val="26"/>
                              </w:numPr>
                              <w:spacing w:after="120"/>
                              <w:ind w:left="1080"/>
                              <w:jc w:val="both"/>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66BF4B5F" w14:textId="77777777" w:rsidR="000C34FA" w:rsidRDefault="000C34FA" w:rsidP="004A1EE9">
                      <w:pPr>
                        <w:rPr>
                          <w:b/>
                          <w:lang w:val="en-US" w:eastAsia="x-none"/>
                        </w:rPr>
                      </w:pPr>
                      <w:r>
                        <w:rPr>
                          <w:highlight w:val="green"/>
                          <w:lang w:eastAsia="x-none"/>
                        </w:rPr>
                        <w:t>Agreements</w:t>
                      </w:r>
                      <w:r>
                        <w:rPr>
                          <w:b/>
                          <w:lang w:eastAsia="x-none"/>
                        </w:rPr>
                        <w:t>:</w:t>
                      </w:r>
                    </w:p>
                    <w:p w14:paraId="53BB68FB" w14:textId="77777777" w:rsidR="000C34FA" w:rsidRDefault="000C34FA" w:rsidP="004A1EE9">
                      <w:pPr>
                        <w:pStyle w:val="af0"/>
                      </w:pPr>
                      <w:r>
                        <w:t>For one carrier:</w:t>
                      </w:r>
                    </w:p>
                    <w:p w14:paraId="57B74D7C" w14:textId="77777777" w:rsidR="000C34FA" w:rsidRDefault="000C34FA" w:rsidP="004A1EE9">
                      <w:pPr>
                        <w:pStyle w:val="af0"/>
                        <w:numPr>
                          <w:ilvl w:val="0"/>
                          <w:numId w:val="27"/>
                        </w:numPr>
                        <w:spacing w:after="120"/>
                        <w:jc w:val="both"/>
                      </w:pPr>
                      <w:r>
                        <w:t>(</w:t>
                      </w:r>
                      <w:r>
                        <w:rPr>
                          <w:highlight w:val="darkYellow"/>
                        </w:rPr>
                        <w:t>working assumption</w:t>
                      </w:r>
                      <w:r>
                        <w:t>) Payload sizes for 2-2 and 2-3 are padded (if needed) to match the size of formats 0-0/1-0 as defined by the initial BWP</w:t>
                      </w:r>
                    </w:p>
                    <w:p w14:paraId="2E2461E5" w14:textId="77777777" w:rsidR="000C34FA" w:rsidRDefault="000C34FA" w:rsidP="004A1EE9">
                      <w:pPr>
                        <w:pStyle w:val="af0"/>
                        <w:numPr>
                          <w:ilvl w:val="0"/>
                          <w:numId w:val="27"/>
                        </w:numPr>
                        <w:spacing w:after="120"/>
                        <w:jc w:val="both"/>
                      </w:pPr>
                      <w:r>
                        <w:t>(</w:t>
                      </w:r>
                      <w:r>
                        <w:rPr>
                          <w:highlight w:val="darkYellow"/>
                        </w:rPr>
                        <w:t>working assumption</w:t>
                      </w:r>
                      <w:r>
                        <w:t>) At most 4 different DCI sizes are monitored by the UE per slot</w:t>
                      </w:r>
                    </w:p>
                    <w:p w14:paraId="44CC4B7C" w14:textId="77777777" w:rsidR="000C34FA" w:rsidRDefault="000C34FA" w:rsidP="004A1EE9">
                      <w:pPr>
                        <w:pStyle w:val="af0"/>
                        <w:numPr>
                          <w:ilvl w:val="1"/>
                          <w:numId w:val="27"/>
                        </w:numPr>
                        <w:spacing w:after="120"/>
                        <w:jc w:val="both"/>
                      </w:pPr>
                      <w:r>
                        <w:t>At most 3 different DCI sizes are monitored per C-RNTI per slot</w:t>
                      </w:r>
                    </w:p>
                    <w:p w14:paraId="6C789DD9" w14:textId="77777777" w:rsidR="000C34FA" w:rsidRDefault="000C34FA" w:rsidP="004A1EE9">
                      <w:pPr>
                        <w:pStyle w:val="af0"/>
                        <w:numPr>
                          <w:ilvl w:val="0"/>
                          <w:numId w:val="27"/>
                        </w:numPr>
                        <w:spacing w:after="120"/>
                        <w:jc w:val="both"/>
                        <w:rPr>
                          <w:szCs w:val="24"/>
                        </w:rPr>
                      </w:pPr>
                      <w:r>
                        <w:t>Payload size for formats 0-1 and 1-1 may differ</w:t>
                      </w:r>
                    </w:p>
                    <w:p w14:paraId="69A57728" w14:textId="77777777" w:rsidR="000C34FA" w:rsidRDefault="000C34FA" w:rsidP="004A1EE9">
                      <w:pPr>
                        <w:pStyle w:val="af0"/>
                      </w:pPr>
                      <w:r>
                        <w:rPr>
                          <w:highlight w:val="green"/>
                        </w:rPr>
                        <w:t>Agreements</w:t>
                      </w:r>
                      <w:r>
                        <w:t>:</w:t>
                      </w:r>
                    </w:p>
                    <w:p w14:paraId="0BD9340B" w14:textId="77777777" w:rsidR="000C34FA" w:rsidRDefault="000C34FA" w:rsidP="004A1EE9">
                      <w:pPr>
                        <w:pStyle w:val="af0"/>
                        <w:numPr>
                          <w:ilvl w:val="0"/>
                          <w:numId w:val="25"/>
                        </w:numPr>
                        <w:spacing w:after="120"/>
                        <w:jc w:val="both"/>
                      </w:pPr>
                      <w:r>
                        <w:t xml:space="preserve">DCI formats 0-0/1-0, 0-1, and 1-1 can have different sizes. </w:t>
                      </w:r>
                    </w:p>
                    <w:p w14:paraId="26AE3CCD" w14:textId="77777777" w:rsidR="000C34FA" w:rsidRDefault="000C34FA" w:rsidP="004A1EE9">
                      <w:pPr>
                        <w:pStyle w:val="af0"/>
                        <w:numPr>
                          <w:ilvl w:val="0"/>
                          <w:numId w:val="25"/>
                        </w:numPr>
                        <w:spacing w:after="120"/>
                        <w:jc w:val="both"/>
                      </w:pPr>
                      <w:r>
                        <w:t>DCI formats 0-1 and 1-1 can be received in USS only. The size is determined by the active BWP.</w:t>
                      </w:r>
                    </w:p>
                    <w:p w14:paraId="055F3DCC" w14:textId="77777777" w:rsidR="000C34FA" w:rsidRDefault="000C34FA" w:rsidP="004A1EE9">
                      <w:pPr>
                        <w:pStyle w:val="af0"/>
                        <w:rPr>
                          <w:szCs w:val="24"/>
                        </w:rPr>
                      </w:pPr>
                      <w:r>
                        <w:rPr>
                          <w:highlight w:val="darkYellow"/>
                        </w:rPr>
                        <w:t>Working assumption</w:t>
                      </w:r>
                      <w:r>
                        <w:t>:</w:t>
                      </w:r>
                    </w:p>
                    <w:p w14:paraId="31D26CDD" w14:textId="77777777" w:rsidR="000C34FA" w:rsidRDefault="000C34FA" w:rsidP="004A1EE9">
                      <w:pPr>
                        <w:pStyle w:val="af0"/>
                        <w:numPr>
                          <w:ilvl w:val="0"/>
                          <w:numId w:val="26"/>
                        </w:numPr>
                        <w:spacing w:after="120"/>
                        <w:jc w:val="both"/>
                      </w:pPr>
                      <w:r>
                        <w:t>When monitoring for DCI in a BWP, the size of DCI format 0-0/1-0 is given by</w:t>
                      </w:r>
                    </w:p>
                    <w:p w14:paraId="70A72523" w14:textId="77777777" w:rsidR="000C34FA" w:rsidRDefault="000C34FA" w:rsidP="004A1EE9">
                      <w:pPr>
                        <w:pStyle w:val="af0"/>
                        <w:numPr>
                          <w:ilvl w:val="0"/>
                          <w:numId w:val="26"/>
                        </w:numPr>
                        <w:spacing w:after="120"/>
                        <w:ind w:left="1080"/>
                        <w:jc w:val="both"/>
                      </w:pPr>
                      <w:r>
                        <w:t>For format 0-0/1-0 (regardless of RNTI) in CSS, the size is given by the initial DL BWP</w:t>
                      </w:r>
                    </w:p>
                    <w:p w14:paraId="57489B29" w14:textId="77777777" w:rsidR="000C34FA" w:rsidRDefault="000C34FA" w:rsidP="004A1EE9">
                      <w:pPr>
                        <w:pStyle w:val="af0"/>
                        <w:numPr>
                          <w:ilvl w:val="0"/>
                          <w:numId w:val="26"/>
                        </w:numPr>
                        <w:spacing w:after="120"/>
                        <w:ind w:left="1080"/>
                        <w:jc w:val="both"/>
                      </w:pPr>
                      <w:r>
                        <w:t xml:space="preserve">For format 0-0/1-0 in USS, the size is given by the active BWP as long as the DCI size budget is fulfilled </w:t>
                      </w:r>
                    </w:p>
                    <w:p w14:paraId="17756005" w14:textId="77777777" w:rsidR="000C34FA" w:rsidRDefault="000C34FA" w:rsidP="004A1EE9">
                      <w:pPr>
                        <w:pStyle w:val="af0"/>
                        <w:numPr>
                          <w:ilvl w:val="1"/>
                          <w:numId w:val="26"/>
                        </w:numPr>
                        <w:spacing w:after="120"/>
                        <w:ind w:left="1800"/>
                        <w:jc w:val="both"/>
                      </w:pPr>
                      <w:r>
                        <w:t>FFS: Otherwise, for format 0-0/1-0, the size is given by the initial DL BWP</w:t>
                      </w:r>
                    </w:p>
                    <w:p w14:paraId="0CF1576B" w14:textId="77777777" w:rsidR="000C34FA" w:rsidRDefault="000C34FA" w:rsidP="004A1EE9">
                      <w:pPr>
                        <w:pStyle w:val="af0"/>
                        <w:numPr>
                          <w:ilvl w:val="0"/>
                          <w:numId w:val="26"/>
                        </w:numPr>
                        <w:spacing w:after="120"/>
                        <w:ind w:left="1080"/>
                        <w:jc w:val="both"/>
                      </w:pPr>
                      <w:r>
                        <w:t>FFS: how to meet the C-RNTI size and DCI size budget per slot</w:t>
                      </w:r>
                    </w:p>
                    <w:p w14:paraId="21B34ECF" w14:textId="77777777" w:rsidR="000C34FA" w:rsidRDefault="000C34FA" w:rsidP="004A1EE9">
                      <w:pPr>
                        <w:pStyle w:val="af0"/>
                        <w:numPr>
                          <w:ilvl w:val="1"/>
                          <w:numId w:val="26"/>
                        </w:numPr>
                        <w:spacing w:after="120"/>
                        <w:ind w:left="1800"/>
                        <w:jc w:val="both"/>
                      </w:pPr>
                      <w:r>
                        <w:t>align 0-1 and 1-1</w:t>
                      </w:r>
                    </w:p>
                    <w:p w14:paraId="76E311BE" w14:textId="77777777" w:rsidR="000C34FA" w:rsidRDefault="000C34FA" w:rsidP="004A1EE9">
                      <w:pPr>
                        <w:pStyle w:val="af0"/>
                        <w:numPr>
                          <w:ilvl w:val="1"/>
                          <w:numId w:val="26"/>
                        </w:numPr>
                        <w:spacing w:after="120"/>
                        <w:ind w:left="1800"/>
                        <w:jc w:val="both"/>
                      </w:pPr>
                      <w:r>
                        <w:t>configure active BWP such that the DCI size is the same as of the initial BWP</w:t>
                      </w:r>
                    </w:p>
                    <w:p w14:paraId="002CAF39" w14:textId="77777777" w:rsidR="000C34FA" w:rsidRDefault="000C34FA" w:rsidP="004A1EE9">
                      <w:pPr>
                        <w:pStyle w:val="af0"/>
                        <w:numPr>
                          <w:ilvl w:val="1"/>
                          <w:numId w:val="26"/>
                        </w:numPr>
                        <w:spacing w:after="120"/>
                        <w:ind w:left="1800"/>
                        <w:jc w:val="both"/>
                      </w:pPr>
                      <w:r>
                        <w:t>do not configure 0-1 and 1-1</w:t>
                      </w:r>
                    </w:p>
                    <w:p w14:paraId="4D4AC14C" w14:textId="77777777" w:rsidR="000C34FA" w:rsidRDefault="000C34FA" w:rsidP="004A1EE9">
                      <w:pPr>
                        <w:pStyle w:val="af0"/>
                        <w:numPr>
                          <w:ilvl w:val="1"/>
                          <w:numId w:val="26"/>
                        </w:numPr>
                        <w:spacing w:after="120"/>
                        <w:ind w:left="1800"/>
                        <w:jc w:val="both"/>
                      </w:pPr>
                      <w:r>
                        <w:t>do not configure 0-0/1-0 in USS</w:t>
                      </w:r>
                    </w:p>
                    <w:p w14:paraId="47E6652A" w14:textId="77777777" w:rsidR="000C34FA" w:rsidRDefault="000C34FA" w:rsidP="004A1EE9">
                      <w:pPr>
                        <w:pStyle w:val="af0"/>
                        <w:numPr>
                          <w:ilvl w:val="1"/>
                          <w:numId w:val="26"/>
                        </w:numPr>
                        <w:spacing w:after="120"/>
                        <w:ind w:left="1800"/>
                        <w:jc w:val="both"/>
                      </w:pPr>
                      <w:r>
                        <w:t>other are not precluded</w:t>
                      </w:r>
                    </w:p>
                    <w:p w14:paraId="6CC3DB57" w14:textId="77777777" w:rsidR="000C34FA" w:rsidRDefault="000C34FA" w:rsidP="004A1EE9">
                      <w:pPr>
                        <w:pStyle w:val="af0"/>
                        <w:numPr>
                          <w:ilvl w:val="0"/>
                          <w:numId w:val="26"/>
                        </w:numPr>
                        <w:spacing w:after="120"/>
                        <w:ind w:left="1080"/>
                        <w:jc w:val="both"/>
                      </w:pPr>
                      <w:r>
                        <w:t>FFS: for format 0-0/1-0, how to interpret the frequency-domain field in a DCI with a size defined from a BWP with a different size than the BWP it is applied to</w:t>
                      </w:r>
                    </w:p>
                  </w:txbxContent>
                </v:textbox>
                <w10:anchorlock/>
              </v:shape>
            </w:pict>
          </mc:Fallback>
        </mc:AlternateContent>
      </w:r>
    </w:p>
    <w:p w14:paraId="016EE273" w14:textId="72117EDA" w:rsidR="0092111D" w:rsidRDefault="0092111D" w:rsidP="0092111D">
      <w:pPr>
        <w:rPr>
          <w:lang w:eastAsia="ja-JP"/>
        </w:rPr>
      </w:pPr>
      <w:r w:rsidRPr="00FC0ECD">
        <w:rPr>
          <w:lang w:eastAsia="ja-JP"/>
        </w:rPr>
        <w:t xml:space="preserve">In this contribution, we provide our considerations on </w:t>
      </w:r>
      <w:r>
        <w:rPr>
          <w:lang w:eastAsia="ja-JP"/>
        </w:rPr>
        <w:t xml:space="preserve">DCI size </w:t>
      </w:r>
      <w:r w:rsidRPr="00FC0ECD">
        <w:rPr>
          <w:lang w:eastAsia="ja-JP"/>
        </w:rPr>
        <w:t>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lastRenderedPageBreak/>
        <w:t>Discussion</w:t>
      </w:r>
    </w:p>
    <w:p w14:paraId="28E1A4DE" w14:textId="3DA1BFA6" w:rsidR="00B23322" w:rsidRDefault="00B23322" w:rsidP="00F5563F">
      <w:pPr>
        <w:pStyle w:val="2"/>
      </w:pPr>
      <w:r>
        <w:t>C-RNTI size and DCI size budget</w:t>
      </w:r>
    </w:p>
    <w:p w14:paraId="014216B4" w14:textId="7E5EE2F0" w:rsidR="00B23322" w:rsidRDefault="00B23322" w:rsidP="00FC39EC">
      <w:pPr>
        <w:rPr>
          <w:rFonts w:eastAsia="宋体"/>
          <w:lang w:eastAsia="zh-CN"/>
        </w:rPr>
      </w:pPr>
      <w:r>
        <w:rPr>
          <w:rFonts w:eastAsia="宋体"/>
          <w:lang w:eastAsia="zh-CN"/>
        </w:rPr>
        <w:t xml:space="preserve">We had agreed </w:t>
      </w:r>
      <w:r w:rsidR="00FC39EC">
        <w:rPr>
          <w:rFonts w:eastAsia="宋体"/>
          <w:lang w:eastAsia="zh-CN"/>
        </w:rPr>
        <w:t xml:space="preserve">at most </w:t>
      </w:r>
      <w:r w:rsidR="00FC39EC" w:rsidRPr="00FC39EC">
        <w:rPr>
          <w:rFonts w:eastAsia="宋体"/>
          <w:lang w:eastAsia="zh-CN"/>
        </w:rPr>
        <w:t>4 different DCI sizes are monitored by the UE per slot</w:t>
      </w:r>
      <w:r w:rsidR="00FC39EC">
        <w:rPr>
          <w:rFonts w:eastAsia="宋体"/>
          <w:lang w:eastAsia="zh-CN"/>
        </w:rPr>
        <w:t>, and a</w:t>
      </w:r>
      <w:r w:rsidR="00FC39EC" w:rsidRPr="00FC39EC">
        <w:rPr>
          <w:rFonts w:eastAsia="宋体"/>
          <w:lang w:eastAsia="zh-CN"/>
        </w:rPr>
        <w:t>t most 3 different DCI sizes are monitored per C-RNTI per slot</w:t>
      </w:r>
      <w:r w:rsidR="00FC39EC">
        <w:rPr>
          <w:rFonts w:eastAsia="宋体"/>
          <w:lang w:eastAsia="zh-CN"/>
        </w:rPr>
        <w:t>.</w:t>
      </w:r>
    </w:p>
    <w:p w14:paraId="19351FB5" w14:textId="68A0976F" w:rsidR="00FC39EC" w:rsidRPr="00C113B1" w:rsidRDefault="00FC39EC" w:rsidP="00FC39EC">
      <w:pPr>
        <w:rPr>
          <w:rFonts w:eastAsia="宋体"/>
          <w:b/>
          <w:u w:val="single"/>
          <w:lang w:eastAsia="zh-CN"/>
        </w:rPr>
      </w:pPr>
      <w:r w:rsidRPr="00C113B1">
        <w:rPr>
          <w:rFonts w:eastAsia="宋体"/>
          <w:b/>
          <w:u w:val="single"/>
          <w:lang w:eastAsia="zh-CN"/>
        </w:rPr>
        <w:t>Initial BWP</w:t>
      </w:r>
    </w:p>
    <w:p w14:paraId="36F7EB45" w14:textId="06D9A69C" w:rsidR="00FC39EC" w:rsidRDefault="00FC39EC" w:rsidP="00FC39EC">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UE </w:t>
      </w:r>
      <w:r w:rsidR="000C34FA">
        <w:rPr>
          <w:rFonts w:eastAsia="宋体"/>
          <w:lang w:eastAsia="zh-CN"/>
        </w:rPr>
        <w:t xml:space="preserve">monitors </w:t>
      </w:r>
      <w:r>
        <w:rPr>
          <w:rFonts w:eastAsia="宋体"/>
          <w:lang w:eastAsia="zh-CN"/>
        </w:rPr>
        <w:t>DCI in initial BWP, there are five DCI size</w:t>
      </w:r>
      <w:r w:rsidR="000C34FA">
        <w:rPr>
          <w:rFonts w:eastAsia="宋体"/>
          <w:lang w:eastAsia="zh-CN"/>
        </w:rPr>
        <w:t>s</w:t>
      </w:r>
      <w:r>
        <w:rPr>
          <w:rFonts w:eastAsia="宋体"/>
          <w:lang w:eastAsia="zh-CN"/>
        </w:rPr>
        <w:t xml:space="preserve"> monitored per slot according to the recent agreements and working assumptions:</w:t>
      </w:r>
    </w:p>
    <w:p w14:paraId="7774782C" w14:textId="27D37D8D"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0-0/1-0 and DCI 2-2/2-3</w:t>
      </w:r>
    </w:p>
    <w:p w14:paraId="2881B68C" w14:textId="4178667F"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0-1</w:t>
      </w:r>
    </w:p>
    <w:p w14:paraId="56E8F128" w14:textId="13347BD4"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1-1</w:t>
      </w:r>
    </w:p>
    <w:p w14:paraId="4300DD3E" w14:textId="2C83F10C"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2-0</w:t>
      </w:r>
    </w:p>
    <w:p w14:paraId="778460D6" w14:textId="5CC32436"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2-1</w:t>
      </w:r>
    </w:p>
    <w:p w14:paraId="69C5597B" w14:textId="66D95269" w:rsidR="00FC39EC" w:rsidRDefault="00FC39EC" w:rsidP="00FC39EC">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UE </w:t>
      </w:r>
      <w:r w:rsidR="000C34FA">
        <w:rPr>
          <w:rFonts w:eastAsia="宋体"/>
          <w:lang w:eastAsia="zh-CN"/>
        </w:rPr>
        <w:t xml:space="preserve">monitors </w:t>
      </w:r>
      <w:r>
        <w:rPr>
          <w:rFonts w:eastAsia="宋体"/>
          <w:lang w:eastAsia="zh-CN"/>
        </w:rPr>
        <w:t>DCI in initial BWP, there are four DCI size</w:t>
      </w:r>
      <w:r w:rsidR="000C34FA">
        <w:rPr>
          <w:rFonts w:eastAsia="宋体"/>
          <w:lang w:eastAsia="zh-CN"/>
        </w:rPr>
        <w:t>s</w:t>
      </w:r>
      <w:r>
        <w:rPr>
          <w:rFonts w:eastAsia="宋体"/>
          <w:lang w:eastAsia="zh-CN"/>
        </w:rPr>
        <w:t xml:space="preserve"> monitored per C-RNTI per slot according to the recent agreements and working assumptions:</w:t>
      </w:r>
    </w:p>
    <w:p w14:paraId="22AA8DF7" w14:textId="2A2374D3" w:rsidR="00FC39EC" w:rsidRPr="00FC39EC" w:rsidRDefault="00FC39EC" w:rsidP="00FC39EC">
      <w:pPr>
        <w:pStyle w:val="afe"/>
        <w:numPr>
          <w:ilvl w:val="0"/>
          <w:numId w:val="34"/>
        </w:numPr>
        <w:ind w:leftChars="0"/>
        <w:rPr>
          <w:rFonts w:eastAsia="宋体"/>
          <w:lang w:eastAsia="zh-CN"/>
        </w:rPr>
      </w:pPr>
      <w:r w:rsidRPr="00FC39EC">
        <w:rPr>
          <w:rFonts w:eastAsia="宋体"/>
          <w:lang w:eastAsia="zh-CN"/>
        </w:rPr>
        <w:t xml:space="preserve">DCI 0-0/1-0 </w:t>
      </w:r>
    </w:p>
    <w:p w14:paraId="0414FE5F" w14:textId="77777777" w:rsidR="00FC39EC" w:rsidRPr="00FC39EC" w:rsidRDefault="00FC39EC" w:rsidP="00FC39EC">
      <w:pPr>
        <w:pStyle w:val="afe"/>
        <w:numPr>
          <w:ilvl w:val="0"/>
          <w:numId w:val="34"/>
        </w:numPr>
        <w:ind w:leftChars="0"/>
        <w:rPr>
          <w:rFonts w:eastAsia="宋体"/>
          <w:lang w:eastAsia="zh-CN"/>
        </w:rPr>
      </w:pPr>
      <w:r w:rsidRPr="00FC39EC">
        <w:rPr>
          <w:rFonts w:eastAsia="宋体"/>
          <w:lang w:eastAsia="zh-CN"/>
        </w:rPr>
        <w:t>DCI 0-1</w:t>
      </w:r>
    </w:p>
    <w:p w14:paraId="346F3A7C" w14:textId="77777777" w:rsidR="00FC39EC" w:rsidRPr="00FC39EC" w:rsidRDefault="00FC39EC" w:rsidP="00FC39EC">
      <w:pPr>
        <w:pStyle w:val="afe"/>
        <w:numPr>
          <w:ilvl w:val="0"/>
          <w:numId w:val="34"/>
        </w:numPr>
        <w:ind w:leftChars="0"/>
        <w:rPr>
          <w:rFonts w:eastAsia="宋体"/>
          <w:lang w:eastAsia="zh-CN"/>
        </w:rPr>
      </w:pPr>
      <w:r w:rsidRPr="00FC39EC">
        <w:rPr>
          <w:rFonts w:eastAsia="宋体"/>
          <w:lang w:eastAsia="zh-CN"/>
        </w:rPr>
        <w:t>DCI 1-1</w:t>
      </w:r>
    </w:p>
    <w:p w14:paraId="2D458AF6" w14:textId="3A3B78A3" w:rsidR="00FC39EC" w:rsidRPr="00DC7523" w:rsidRDefault="00FC39EC" w:rsidP="00FC39EC">
      <w:pPr>
        <w:pStyle w:val="afe"/>
        <w:numPr>
          <w:ilvl w:val="0"/>
          <w:numId w:val="35"/>
        </w:numPr>
        <w:ind w:leftChars="0"/>
        <w:rPr>
          <w:rFonts w:eastAsia="宋体"/>
          <w:b/>
          <w:lang w:eastAsia="zh-CN"/>
        </w:rPr>
      </w:pPr>
      <w:r w:rsidRPr="00DC7523">
        <w:rPr>
          <w:rFonts w:eastAsia="宋体"/>
          <w:b/>
          <w:lang w:eastAsia="zh-CN"/>
        </w:rPr>
        <w:t>W</w:t>
      </w:r>
      <w:r w:rsidRPr="00DC7523">
        <w:rPr>
          <w:rFonts w:eastAsia="宋体" w:hint="eastAsia"/>
          <w:b/>
          <w:lang w:eastAsia="zh-CN"/>
        </w:rPr>
        <w:t xml:space="preserve">hen </w:t>
      </w:r>
      <w:r w:rsidRPr="00DC7523">
        <w:rPr>
          <w:rFonts w:eastAsia="宋体"/>
          <w:b/>
          <w:lang w:eastAsia="zh-CN"/>
        </w:rPr>
        <w:t xml:space="preserve">UE </w:t>
      </w:r>
      <w:r w:rsidR="000C34FA" w:rsidRPr="00DC7523">
        <w:rPr>
          <w:rFonts w:eastAsia="宋体"/>
          <w:b/>
          <w:lang w:eastAsia="zh-CN"/>
        </w:rPr>
        <w:t>monitor</w:t>
      </w:r>
      <w:r w:rsidR="000C34FA">
        <w:rPr>
          <w:rFonts w:eastAsia="宋体"/>
          <w:b/>
          <w:lang w:eastAsia="zh-CN"/>
        </w:rPr>
        <w:t>s</w:t>
      </w:r>
      <w:r w:rsidR="000C34FA" w:rsidRPr="00DC7523">
        <w:rPr>
          <w:rFonts w:eastAsia="宋体"/>
          <w:b/>
          <w:lang w:eastAsia="zh-CN"/>
        </w:rPr>
        <w:t xml:space="preserve"> </w:t>
      </w:r>
      <w:r w:rsidRPr="00DC7523">
        <w:rPr>
          <w:rFonts w:eastAsia="宋体"/>
          <w:b/>
          <w:lang w:eastAsia="zh-CN"/>
        </w:rPr>
        <w:t>DCI in initial BWP, there are five DCI size</w:t>
      </w:r>
      <w:r w:rsidR="00493E8B">
        <w:rPr>
          <w:rFonts w:eastAsia="宋体"/>
          <w:b/>
          <w:lang w:eastAsia="zh-CN"/>
        </w:rPr>
        <w:t>s</w:t>
      </w:r>
      <w:r w:rsidRPr="00DC7523">
        <w:rPr>
          <w:rFonts w:eastAsia="宋体"/>
          <w:b/>
          <w:lang w:eastAsia="zh-CN"/>
        </w:rPr>
        <w:t xml:space="preserve"> monitored per slot.</w:t>
      </w:r>
    </w:p>
    <w:p w14:paraId="6826D551" w14:textId="665EEEC0" w:rsidR="00FC39EC" w:rsidRPr="00C113B1" w:rsidRDefault="00FC39EC" w:rsidP="00FC39EC">
      <w:pPr>
        <w:rPr>
          <w:rFonts w:eastAsia="宋体"/>
          <w:b/>
          <w:u w:val="single"/>
          <w:lang w:eastAsia="zh-CN"/>
        </w:rPr>
      </w:pPr>
      <w:r w:rsidRPr="00C113B1">
        <w:rPr>
          <w:rFonts w:eastAsia="宋体"/>
          <w:b/>
          <w:u w:val="single"/>
          <w:lang w:eastAsia="zh-CN"/>
        </w:rPr>
        <w:t>Non-Initial BWP</w:t>
      </w:r>
    </w:p>
    <w:p w14:paraId="34D26216" w14:textId="3FEF8D73" w:rsidR="00FC39EC" w:rsidRDefault="00FC39EC" w:rsidP="00FC39EC">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UE </w:t>
      </w:r>
      <w:r w:rsidR="000C34FA">
        <w:rPr>
          <w:rFonts w:eastAsia="宋体"/>
          <w:lang w:eastAsia="zh-CN"/>
        </w:rPr>
        <w:t xml:space="preserve">monitors </w:t>
      </w:r>
      <w:r>
        <w:rPr>
          <w:rFonts w:eastAsia="宋体"/>
          <w:lang w:eastAsia="zh-CN"/>
        </w:rPr>
        <w:t xml:space="preserve">DCI in non-initial BWP, there are </w:t>
      </w:r>
      <w:r w:rsidR="00CF7BAC">
        <w:rPr>
          <w:rFonts w:eastAsia="宋体"/>
          <w:lang w:eastAsia="zh-CN"/>
        </w:rPr>
        <w:t xml:space="preserve">at most five </w:t>
      </w:r>
      <w:r>
        <w:rPr>
          <w:rFonts w:eastAsia="宋体"/>
          <w:lang w:eastAsia="zh-CN"/>
        </w:rPr>
        <w:t>DCI size</w:t>
      </w:r>
      <w:r w:rsidR="000C34FA">
        <w:rPr>
          <w:rFonts w:eastAsia="宋体"/>
          <w:lang w:eastAsia="zh-CN"/>
        </w:rPr>
        <w:t>s</w:t>
      </w:r>
      <w:r>
        <w:rPr>
          <w:rFonts w:eastAsia="宋体"/>
          <w:lang w:eastAsia="zh-CN"/>
        </w:rPr>
        <w:t xml:space="preserve"> monitored per slot </w:t>
      </w:r>
      <w:r w:rsidR="00CF7BAC">
        <w:rPr>
          <w:rFonts w:eastAsia="宋体"/>
          <w:lang w:eastAsia="zh-CN"/>
        </w:rPr>
        <w:t xml:space="preserve">if DCI 0-1 and DCI 1-1 is configured in USS </w:t>
      </w:r>
      <w:r>
        <w:rPr>
          <w:rFonts w:eastAsia="宋体"/>
          <w:lang w:eastAsia="zh-CN"/>
        </w:rPr>
        <w:t>according to the recent agreements and working assumptions</w:t>
      </w:r>
      <w:r w:rsidR="00CF7BAC">
        <w:rPr>
          <w:rFonts w:eastAsia="宋体"/>
          <w:lang w:eastAsia="zh-CN"/>
        </w:rPr>
        <w:t>. If DCI 0-0/1-0 is configured in USS, gNB can’t configure DCI 0-1 and DCI 1-1 in USS simultaneously, and there are four DCI sizes monitored per slot which can meet the DCI size budget per slot. So we only have to consider the case of DCI 0-1 and DCI 1-1 is configured in USS</w:t>
      </w:r>
      <w:r>
        <w:rPr>
          <w:rFonts w:eastAsia="宋体"/>
          <w:lang w:eastAsia="zh-CN"/>
        </w:rPr>
        <w:t>:</w:t>
      </w:r>
    </w:p>
    <w:p w14:paraId="0609C1C9" w14:textId="48833D43" w:rsidR="00FC39EC" w:rsidRDefault="00FC39EC" w:rsidP="00FC39EC">
      <w:pPr>
        <w:pStyle w:val="afe"/>
        <w:numPr>
          <w:ilvl w:val="0"/>
          <w:numId w:val="33"/>
        </w:numPr>
        <w:ind w:leftChars="0"/>
        <w:rPr>
          <w:rFonts w:eastAsia="宋体"/>
          <w:lang w:eastAsia="zh-CN"/>
        </w:rPr>
      </w:pPr>
      <w:r w:rsidRPr="00FC39EC">
        <w:rPr>
          <w:rFonts w:eastAsia="宋体"/>
          <w:lang w:eastAsia="zh-CN"/>
        </w:rPr>
        <w:t xml:space="preserve">DCI 0-0/1-0 </w:t>
      </w:r>
      <w:r>
        <w:rPr>
          <w:rFonts w:eastAsia="宋体"/>
          <w:lang w:eastAsia="zh-CN"/>
        </w:rPr>
        <w:t>in CSS</w:t>
      </w:r>
      <w:r w:rsidRPr="00FC39EC">
        <w:rPr>
          <w:rFonts w:eastAsia="宋体"/>
          <w:lang w:eastAsia="zh-CN"/>
        </w:rPr>
        <w:t xml:space="preserve"> and DCI 2-2/2-3</w:t>
      </w:r>
      <w:r>
        <w:rPr>
          <w:rFonts w:eastAsia="宋体"/>
          <w:lang w:eastAsia="zh-CN"/>
        </w:rPr>
        <w:t xml:space="preserve"> </w:t>
      </w:r>
    </w:p>
    <w:p w14:paraId="3F5BDCB0" w14:textId="77777777"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0-1</w:t>
      </w:r>
    </w:p>
    <w:p w14:paraId="422E2D45" w14:textId="77777777"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1-1</w:t>
      </w:r>
    </w:p>
    <w:p w14:paraId="008B8809" w14:textId="77777777"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2-0</w:t>
      </w:r>
    </w:p>
    <w:p w14:paraId="03EE7E31" w14:textId="77777777"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2-1</w:t>
      </w:r>
    </w:p>
    <w:p w14:paraId="5A4031E0" w14:textId="5E92003A" w:rsidR="00CF7BAC" w:rsidRDefault="00FC39EC" w:rsidP="00FC39EC">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UE </w:t>
      </w:r>
      <w:r w:rsidR="00493E8B">
        <w:rPr>
          <w:rFonts w:eastAsia="宋体"/>
          <w:lang w:eastAsia="zh-CN"/>
        </w:rPr>
        <w:t xml:space="preserve">monitors </w:t>
      </w:r>
      <w:r>
        <w:rPr>
          <w:rFonts w:eastAsia="宋体"/>
          <w:lang w:eastAsia="zh-CN"/>
        </w:rPr>
        <w:t xml:space="preserve">DCI in </w:t>
      </w:r>
      <w:r w:rsidR="00862308">
        <w:rPr>
          <w:rFonts w:eastAsia="宋体"/>
          <w:lang w:eastAsia="zh-CN"/>
        </w:rPr>
        <w:t>non-</w:t>
      </w:r>
      <w:r>
        <w:rPr>
          <w:rFonts w:eastAsia="宋体"/>
          <w:lang w:eastAsia="zh-CN"/>
        </w:rPr>
        <w:t xml:space="preserve">initial BWP, there are </w:t>
      </w:r>
      <w:r w:rsidR="00CF7BAC">
        <w:rPr>
          <w:rFonts w:eastAsia="宋体"/>
          <w:lang w:eastAsia="zh-CN"/>
        </w:rPr>
        <w:t xml:space="preserve">at most three </w:t>
      </w:r>
      <w:r>
        <w:rPr>
          <w:rFonts w:eastAsia="宋体"/>
          <w:lang w:eastAsia="zh-CN"/>
        </w:rPr>
        <w:t>DCI size</w:t>
      </w:r>
      <w:r w:rsidR="00493E8B">
        <w:rPr>
          <w:rFonts w:eastAsia="宋体"/>
          <w:lang w:eastAsia="zh-CN"/>
        </w:rPr>
        <w:t>s</w:t>
      </w:r>
      <w:r>
        <w:rPr>
          <w:rFonts w:eastAsia="宋体"/>
          <w:lang w:eastAsia="zh-CN"/>
        </w:rPr>
        <w:t xml:space="preserve"> monitored per C-RNTI per slot </w:t>
      </w:r>
      <w:r w:rsidR="00CF7BAC">
        <w:rPr>
          <w:rFonts w:eastAsia="宋体"/>
          <w:lang w:eastAsia="zh-CN"/>
        </w:rPr>
        <w:t xml:space="preserve">if DCI 0-1 and DCI 1-1 is configured in USS. </w:t>
      </w:r>
    </w:p>
    <w:p w14:paraId="0BAD2A7F" w14:textId="77777777" w:rsidR="00CF7BAC" w:rsidRDefault="00CF7BAC" w:rsidP="00CF7BAC">
      <w:pPr>
        <w:pStyle w:val="afe"/>
        <w:numPr>
          <w:ilvl w:val="0"/>
          <w:numId w:val="34"/>
        </w:numPr>
        <w:ind w:leftChars="0"/>
        <w:rPr>
          <w:rFonts w:eastAsia="宋体"/>
          <w:lang w:eastAsia="zh-CN"/>
        </w:rPr>
      </w:pPr>
      <w:r w:rsidRPr="00FC39EC">
        <w:rPr>
          <w:rFonts w:eastAsia="宋体"/>
          <w:lang w:eastAsia="zh-CN"/>
        </w:rPr>
        <w:t xml:space="preserve">DCI 0-0/1-0 </w:t>
      </w:r>
      <w:r>
        <w:rPr>
          <w:rFonts w:eastAsia="宋体"/>
          <w:lang w:eastAsia="zh-CN"/>
        </w:rPr>
        <w:t>in CSS</w:t>
      </w:r>
    </w:p>
    <w:p w14:paraId="0D43F021" w14:textId="77777777" w:rsidR="00CF7BAC" w:rsidRPr="00FC39EC" w:rsidRDefault="00CF7BAC" w:rsidP="00CF7BAC">
      <w:pPr>
        <w:pStyle w:val="afe"/>
        <w:numPr>
          <w:ilvl w:val="0"/>
          <w:numId w:val="34"/>
        </w:numPr>
        <w:ind w:leftChars="0"/>
        <w:rPr>
          <w:rFonts w:eastAsia="宋体"/>
          <w:lang w:eastAsia="zh-CN"/>
        </w:rPr>
      </w:pPr>
      <w:r w:rsidRPr="00FC39EC">
        <w:rPr>
          <w:rFonts w:eastAsia="宋体"/>
          <w:lang w:eastAsia="zh-CN"/>
        </w:rPr>
        <w:t>DCI 0-1</w:t>
      </w:r>
    </w:p>
    <w:p w14:paraId="025FD8FD" w14:textId="77777777" w:rsidR="00CF7BAC" w:rsidRPr="00FC39EC" w:rsidRDefault="00CF7BAC" w:rsidP="00CF7BAC">
      <w:pPr>
        <w:pStyle w:val="afe"/>
        <w:numPr>
          <w:ilvl w:val="0"/>
          <w:numId w:val="34"/>
        </w:numPr>
        <w:ind w:leftChars="0"/>
        <w:rPr>
          <w:rFonts w:eastAsia="宋体"/>
          <w:lang w:eastAsia="zh-CN"/>
        </w:rPr>
      </w:pPr>
      <w:r w:rsidRPr="00FC39EC">
        <w:rPr>
          <w:rFonts w:eastAsia="宋体"/>
          <w:lang w:eastAsia="zh-CN"/>
        </w:rPr>
        <w:t>DCI 1-1</w:t>
      </w:r>
    </w:p>
    <w:p w14:paraId="321421D3" w14:textId="77777777" w:rsidR="00CF7BAC" w:rsidRDefault="00CF7BAC" w:rsidP="00FC39EC">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UE monitors DCI in non-initial BWP, if DCI 0-0/1-0 is configured in USS, gNB can’t configure DCI 0-1 and DCI 1-1 in USS simultaneously, and there are two DCI sizes monitored per slot which can meet the DCI size budget per slot.</w:t>
      </w:r>
    </w:p>
    <w:p w14:paraId="60E92F75" w14:textId="77777777" w:rsidR="00CF7BAC" w:rsidRDefault="00CF7BAC" w:rsidP="00CF7BAC">
      <w:pPr>
        <w:pStyle w:val="afe"/>
        <w:numPr>
          <w:ilvl w:val="0"/>
          <w:numId w:val="34"/>
        </w:numPr>
        <w:ind w:leftChars="0"/>
        <w:rPr>
          <w:rFonts w:eastAsia="宋体"/>
          <w:lang w:eastAsia="zh-CN"/>
        </w:rPr>
      </w:pPr>
      <w:r w:rsidRPr="00FC39EC">
        <w:rPr>
          <w:rFonts w:eastAsia="宋体"/>
          <w:lang w:eastAsia="zh-CN"/>
        </w:rPr>
        <w:t xml:space="preserve">DCI 0-0/1-0 </w:t>
      </w:r>
      <w:r>
        <w:rPr>
          <w:rFonts w:eastAsia="宋体"/>
          <w:lang w:eastAsia="zh-CN"/>
        </w:rPr>
        <w:t>in CSS</w:t>
      </w:r>
    </w:p>
    <w:p w14:paraId="6F6BC4C3" w14:textId="221F9062" w:rsidR="00FC39EC" w:rsidRPr="006436A2" w:rsidRDefault="00CF7BAC" w:rsidP="00297D26">
      <w:pPr>
        <w:pStyle w:val="afe"/>
        <w:numPr>
          <w:ilvl w:val="0"/>
          <w:numId w:val="34"/>
        </w:numPr>
        <w:ind w:leftChars="0"/>
        <w:rPr>
          <w:rFonts w:eastAsia="宋体"/>
          <w:lang w:eastAsia="zh-CN"/>
        </w:rPr>
      </w:pPr>
      <w:r w:rsidRPr="006436A2">
        <w:rPr>
          <w:rFonts w:eastAsia="宋体"/>
          <w:lang w:eastAsia="zh-CN"/>
        </w:rPr>
        <w:lastRenderedPageBreak/>
        <w:t>DCI 0-0/1-0 in USS</w:t>
      </w:r>
    </w:p>
    <w:p w14:paraId="7CCAF921" w14:textId="2A63AB36" w:rsidR="00FC39EC" w:rsidRPr="00DC7523" w:rsidRDefault="00FC39EC" w:rsidP="00FC39EC">
      <w:pPr>
        <w:pStyle w:val="afe"/>
        <w:numPr>
          <w:ilvl w:val="0"/>
          <w:numId w:val="35"/>
        </w:numPr>
        <w:ind w:leftChars="0"/>
        <w:rPr>
          <w:rFonts w:eastAsia="宋体"/>
          <w:b/>
          <w:lang w:eastAsia="zh-CN"/>
        </w:rPr>
      </w:pPr>
      <w:r w:rsidRPr="00DC7523">
        <w:rPr>
          <w:rFonts w:eastAsia="宋体"/>
          <w:b/>
          <w:lang w:eastAsia="zh-CN"/>
        </w:rPr>
        <w:t>W</w:t>
      </w:r>
      <w:r w:rsidRPr="00DC7523">
        <w:rPr>
          <w:rFonts w:eastAsia="宋体" w:hint="eastAsia"/>
          <w:b/>
          <w:lang w:eastAsia="zh-CN"/>
        </w:rPr>
        <w:t xml:space="preserve">hen </w:t>
      </w:r>
      <w:r w:rsidRPr="00DC7523">
        <w:rPr>
          <w:rFonts w:eastAsia="宋体"/>
          <w:b/>
          <w:lang w:eastAsia="zh-CN"/>
        </w:rPr>
        <w:t xml:space="preserve">UE </w:t>
      </w:r>
      <w:r w:rsidR="00493E8B" w:rsidRPr="00DC7523">
        <w:rPr>
          <w:rFonts w:eastAsia="宋体"/>
          <w:b/>
          <w:lang w:eastAsia="zh-CN"/>
        </w:rPr>
        <w:t>monitor</w:t>
      </w:r>
      <w:r w:rsidR="00493E8B">
        <w:rPr>
          <w:rFonts w:eastAsia="宋体"/>
          <w:b/>
          <w:lang w:eastAsia="zh-CN"/>
        </w:rPr>
        <w:t>s</w:t>
      </w:r>
      <w:r w:rsidR="00493E8B" w:rsidRPr="00DC7523">
        <w:rPr>
          <w:rFonts w:eastAsia="宋体"/>
          <w:b/>
          <w:lang w:eastAsia="zh-CN"/>
        </w:rPr>
        <w:t xml:space="preserve"> </w:t>
      </w:r>
      <w:r w:rsidRPr="00DC7523">
        <w:rPr>
          <w:rFonts w:eastAsia="宋体"/>
          <w:b/>
          <w:lang w:eastAsia="zh-CN"/>
        </w:rPr>
        <w:t xml:space="preserve">DCI in </w:t>
      </w:r>
      <w:r w:rsidR="004A772B" w:rsidRPr="00DC7523">
        <w:rPr>
          <w:rFonts w:eastAsia="宋体"/>
          <w:b/>
          <w:lang w:eastAsia="zh-CN"/>
        </w:rPr>
        <w:t>non-</w:t>
      </w:r>
      <w:r w:rsidRPr="00DC7523">
        <w:rPr>
          <w:rFonts w:eastAsia="宋体"/>
          <w:b/>
          <w:lang w:eastAsia="zh-CN"/>
        </w:rPr>
        <w:t xml:space="preserve">initial BWP, there are </w:t>
      </w:r>
      <w:r w:rsidR="00CF7BAC">
        <w:rPr>
          <w:rFonts w:eastAsia="宋体"/>
          <w:b/>
          <w:lang w:eastAsia="zh-CN"/>
        </w:rPr>
        <w:t>at most five</w:t>
      </w:r>
      <w:r w:rsidR="00CF7BAC" w:rsidRPr="00DC7523">
        <w:rPr>
          <w:rFonts w:eastAsia="宋体"/>
          <w:b/>
          <w:lang w:eastAsia="zh-CN"/>
        </w:rPr>
        <w:t xml:space="preserve"> </w:t>
      </w:r>
      <w:r w:rsidRPr="00DC7523">
        <w:rPr>
          <w:rFonts w:eastAsia="宋体"/>
          <w:b/>
          <w:lang w:eastAsia="zh-CN"/>
        </w:rPr>
        <w:t>DCI size</w:t>
      </w:r>
      <w:r w:rsidR="00493E8B">
        <w:rPr>
          <w:rFonts w:eastAsia="宋体"/>
          <w:b/>
          <w:lang w:eastAsia="zh-CN"/>
        </w:rPr>
        <w:t>s</w:t>
      </w:r>
      <w:r w:rsidRPr="00DC7523">
        <w:rPr>
          <w:rFonts w:eastAsia="宋体"/>
          <w:b/>
          <w:lang w:eastAsia="zh-CN"/>
        </w:rPr>
        <w:t xml:space="preserve"> monitored per slot.</w:t>
      </w:r>
    </w:p>
    <w:p w14:paraId="45511710" w14:textId="6026A3A3" w:rsidR="00FC39EC" w:rsidRDefault="00C113B1" w:rsidP="00FC39EC">
      <w:pPr>
        <w:rPr>
          <w:rFonts w:eastAsia="宋体"/>
          <w:lang w:eastAsia="zh-CN"/>
        </w:rPr>
      </w:pPr>
      <w:r>
        <w:rPr>
          <w:rFonts w:eastAsia="宋体"/>
          <w:lang w:eastAsia="zh-CN"/>
        </w:rPr>
        <w:t xml:space="preserve">In summary, </w:t>
      </w:r>
      <w:r w:rsidR="006436A2">
        <w:rPr>
          <w:rFonts w:eastAsia="宋体"/>
          <w:lang w:eastAsia="zh-CN"/>
        </w:rPr>
        <w:t>it</w:t>
      </w:r>
      <w:r w:rsidR="00810B3E">
        <w:rPr>
          <w:rFonts w:eastAsia="宋体"/>
          <w:lang w:eastAsia="zh-CN"/>
        </w:rPr>
        <w:t xml:space="preserve"> </w:t>
      </w:r>
      <w:r w:rsidR="006436A2">
        <w:rPr>
          <w:rFonts w:eastAsia="宋体"/>
          <w:lang w:eastAsia="zh-CN"/>
        </w:rPr>
        <w:t>can’t</w:t>
      </w:r>
      <w:r w:rsidR="00810B3E">
        <w:rPr>
          <w:rFonts w:eastAsia="宋体"/>
          <w:lang w:eastAsia="zh-CN"/>
        </w:rPr>
        <w:t xml:space="preserve"> </w:t>
      </w:r>
      <w:r w:rsidR="00810B3E">
        <w:t>meet the DCI size budget per slot</w:t>
      </w:r>
      <w:r w:rsidR="006436A2">
        <w:t xml:space="preserve">, but can meet the C-RNTI size budget per slot for both cases. </w:t>
      </w:r>
      <w:r>
        <w:rPr>
          <w:rFonts w:eastAsia="宋体"/>
          <w:lang w:eastAsia="zh-CN"/>
        </w:rPr>
        <w:t xml:space="preserve">And </w:t>
      </w:r>
      <w:r w:rsidR="007A1DC1">
        <w:rPr>
          <w:rFonts w:eastAsia="宋体"/>
          <w:lang w:eastAsia="zh-CN"/>
        </w:rPr>
        <w:t>option 1~option 5</w:t>
      </w:r>
      <w:r>
        <w:rPr>
          <w:rFonts w:eastAsia="宋体"/>
          <w:lang w:eastAsia="zh-CN"/>
        </w:rPr>
        <w:t xml:space="preserve"> had been provided in RAN1 9</w:t>
      </w:r>
      <w:r w:rsidR="007A1DC1">
        <w:rPr>
          <w:rFonts w:eastAsia="宋体"/>
          <w:lang w:eastAsia="zh-CN"/>
        </w:rPr>
        <w:t>2 meeting, option 6 is a method we promoted.</w:t>
      </w:r>
    </w:p>
    <w:p w14:paraId="3C8D708B" w14:textId="5CB69243" w:rsidR="00375074" w:rsidRDefault="00375074" w:rsidP="00FC39EC">
      <w:r>
        <w:rPr>
          <w:rFonts w:eastAsia="宋体"/>
          <w:lang w:eastAsia="zh-CN"/>
        </w:rPr>
        <w:t xml:space="preserve">Option 1: Size of DCI </w:t>
      </w:r>
      <w:r>
        <w:t>format 0-0/1-0 in USS is given by the initial DL BWP</w:t>
      </w:r>
    </w:p>
    <w:p w14:paraId="24D66FC8" w14:textId="6840E537" w:rsidR="00375074" w:rsidRDefault="00375074" w:rsidP="00375074">
      <w:bookmarkStart w:id="2" w:name="OLE_LINK21"/>
      <w:bookmarkStart w:id="3" w:name="OLE_LINK22"/>
      <w:r>
        <w:rPr>
          <w:rFonts w:eastAsia="宋体"/>
          <w:lang w:eastAsia="zh-CN"/>
        </w:rPr>
        <w:t xml:space="preserve">Option 2: </w:t>
      </w:r>
      <w:r>
        <w:t xml:space="preserve">Align </w:t>
      </w:r>
      <w:r>
        <w:rPr>
          <w:rFonts w:eastAsia="宋体"/>
          <w:lang w:eastAsia="zh-CN"/>
        </w:rPr>
        <w:t xml:space="preserve">DCI </w:t>
      </w:r>
      <w:r>
        <w:t>format 0-1 and 1-1</w:t>
      </w:r>
    </w:p>
    <w:bookmarkEnd w:id="2"/>
    <w:bookmarkEnd w:id="3"/>
    <w:p w14:paraId="3036A01A" w14:textId="5790E5B0" w:rsidR="00C113B1" w:rsidRDefault="00375074" w:rsidP="00375074">
      <w:r>
        <w:rPr>
          <w:rFonts w:eastAsia="宋体"/>
          <w:lang w:eastAsia="zh-CN"/>
        </w:rPr>
        <w:t xml:space="preserve">Option 3: </w:t>
      </w:r>
      <w:r>
        <w:t>C</w:t>
      </w:r>
      <w:r w:rsidR="00C113B1">
        <w:t>onfigure active BWP such that the DCI size is the same as of the initial BWP</w:t>
      </w:r>
    </w:p>
    <w:p w14:paraId="3AA8DFCF" w14:textId="597EB9D8" w:rsidR="00C113B1" w:rsidRDefault="00375074" w:rsidP="00375074">
      <w:r>
        <w:rPr>
          <w:rFonts w:eastAsia="宋体"/>
          <w:lang w:eastAsia="zh-CN"/>
        </w:rPr>
        <w:t xml:space="preserve">Option 4: </w:t>
      </w:r>
      <w:r>
        <w:t>D</w:t>
      </w:r>
      <w:r w:rsidR="00C113B1">
        <w:t>o not configure 0-1 and 1-1</w:t>
      </w:r>
    </w:p>
    <w:p w14:paraId="7B9EE448" w14:textId="5CF10255" w:rsidR="00C113B1" w:rsidRDefault="00375074" w:rsidP="00375074">
      <w:r>
        <w:rPr>
          <w:rFonts w:eastAsia="宋体"/>
          <w:lang w:eastAsia="zh-CN"/>
        </w:rPr>
        <w:t xml:space="preserve">Option 5: </w:t>
      </w:r>
      <w:r>
        <w:t>D</w:t>
      </w:r>
      <w:r w:rsidR="00C113B1">
        <w:t>o not configure 0-0/1-0 in USS</w:t>
      </w:r>
    </w:p>
    <w:p w14:paraId="19A8A76D" w14:textId="166440B2" w:rsidR="00C113B1" w:rsidRDefault="00375074" w:rsidP="00375074">
      <w:r>
        <w:rPr>
          <w:rFonts w:eastAsia="宋体"/>
          <w:lang w:eastAsia="zh-CN"/>
        </w:rPr>
        <w:t xml:space="preserve">Option 6: </w:t>
      </w:r>
      <w:r>
        <w:t>O</w:t>
      </w:r>
      <w:r w:rsidR="00C113B1">
        <w:t>ther</w:t>
      </w:r>
      <w:r>
        <w:t>s</w:t>
      </w:r>
    </w:p>
    <w:p w14:paraId="71AEC0F2" w14:textId="1D73B85C" w:rsidR="00C113B1" w:rsidRDefault="00284952" w:rsidP="00FC39EC">
      <w:pPr>
        <w:rPr>
          <w:rFonts w:eastAsia="宋体"/>
          <w:lang w:eastAsia="zh-CN"/>
        </w:rPr>
      </w:pPr>
      <w:r>
        <w:rPr>
          <w:rFonts w:eastAsia="宋体"/>
          <w:lang w:eastAsia="zh-CN"/>
        </w:rPr>
        <w:t>F</w:t>
      </w:r>
      <w:r>
        <w:rPr>
          <w:rFonts w:eastAsia="宋体" w:hint="eastAsia"/>
          <w:lang w:eastAsia="zh-CN"/>
        </w:rPr>
        <w:t xml:space="preserve">irst </w:t>
      </w:r>
      <w:r>
        <w:rPr>
          <w:rFonts w:eastAsia="宋体"/>
          <w:lang w:eastAsia="zh-CN"/>
        </w:rPr>
        <w:t xml:space="preserve">of all, </w:t>
      </w:r>
      <w:r w:rsidR="00270B88">
        <w:rPr>
          <w:rFonts w:eastAsia="宋体"/>
          <w:lang w:eastAsia="zh-CN"/>
        </w:rPr>
        <w:t xml:space="preserve">option 3 is </w:t>
      </w:r>
      <w:r w:rsidR="00493E8B" w:rsidRPr="00270B88">
        <w:rPr>
          <w:rFonts w:eastAsia="宋体"/>
          <w:lang w:eastAsia="zh-CN"/>
        </w:rPr>
        <w:t>preclud</w:t>
      </w:r>
      <w:r w:rsidR="00493E8B">
        <w:rPr>
          <w:rFonts w:eastAsia="宋体"/>
          <w:lang w:eastAsia="zh-CN"/>
        </w:rPr>
        <w:t xml:space="preserve">ing the case </w:t>
      </w:r>
      <w:r w:rsidR="00270B88">
        <w:rPr>
          <w:rFonts w:eastAsia="宋体"/>
          <w:lang w:eastAsia="zh-CN"/>
        </w:rPr>
        <w:t xml:space="preserve">that active BWP may </w:t>
      </w:r>
      <w:r w:rsidR="00493E8B">
        <w:rPr>
          <w:rFonts w:eastAsia="宋体"/>
          <w:lang w:eastAsia="zh-CN"/>
        </w:rPr>
        <w:t xml:space="preserve">have </w:t>
      </w:r>
      <w:r w:rsidR="00270B88">
        <w:rPr>
          <w:rFonts w:eastAsia="宋体"/>
          <w:lang w:eastAsia="zh-CN"/>
        </w:rPr>
        <w:t xml:space="preserve">a wider BW and </w:t>
      </w:r>
      <w:r w:rsidR="00493E8B">
        <w:rPr>
          <w:rFonts w:eastAsia="宋体"/>
          <w:lang w:eastAsia="zh-CN"/>
        </w:rPr>
        <w:t xml:space="preserve">is </w:t>
      </w:r>
      <w:r w:rsidR="00270B88">
        <w:rPr>
          <w:rFonts w:eastAsia="宋体"/>
          <w:lang w:eastAsia="zh-CN"/>
        </w:rPr>
        <w:t>aim</w:t>
      </w:r>
      <w:r w:rsidR="00493E8B">
        <w:rPr>
          <w:rFonts w:eastAsia="宋体"/>
          <w:lang w:eastAsia="zh-CN"/>
        </w:rPr>
        <w:t>ed</w:t>
      </w:r>
      <w:r w:rsidR="00270B88">
        <w:rPr>
          <w:rFonts w:eastAsia="宋体"/>
          <w:lang w:eastAsia="zh-CN"/>
        </w:rPr>
        <w:t xml:space="preserve"> </w:t>
      </w:r>
      <w:r w:rsidR="00493E8B">
        <w:rPr>
          <w:rFonts w:eastAsia="宋体"/>
          <w:lang w:eastAsia="zh-CN"/>
        </w:rPr>
        <w:t xml:space="preserve">for </w:t>
      </w:r>
      <w:r w:rsidR="00270B88">
        <w:rPr>
          <w:rFonts w:eastAsia="宋体"/>
          <w:lang w:eastAsia="zh-CN"/>
        </w:rPr>
        <w:t xml:space="preserve">higher throughput and </w:t>
      </w:r>
      <w:r w:rsidR="00493E8B">
        <w:rPr>
          <w:rFonts w:eastAsia="宋体"/>
          <w:lang w:eastAsia="zh-CN"/>
        </w:rPr>
        <w:t xml:space="preserve">improved </w:t>
      </w:r>
      <w:r w:rsidR="00270B88">
        <w:rPr>
          <w:rFonts w:eastAsia="宋体"/>
          <w:lang w:eastAsia="zh-CN"/>
        </w:rPr>
        <w:t xml:space="preserve">system performance. If we limit active BWP with the same frequency PRB numbers as initial BWP, it is not fair and </w:t>
      </w:r>
      <w:r w:rsidR="00A46769">
        <w:rPr>
          <w:rFonts w:eastAsia="宋体"/>
          <w:lang w:eastAsia="zh-CN"/>
        </w:rPr>
        <w:t>lo</w:t>
      </w:r>
      <w:r w:rsidR="00493E8B">
        <w:rPr>
          <w:rFonts w:eastAsia="宋体"/>
          <w:lang w:eastAsia="zh-CN"/>
        </w:rPr>
        <w:t>ses</w:t>
      </w:r>
      <w:r w:rsidR="00A46769">
        <w:rPr>
          <w:rFonts w:eastAsia="宋体"/>
          <w:lang w:eastAsia="zh-CN"/>
        </w:rPr>
        <w:t xml:space="preserve"> </w:t>
      </w:r>
      <w:r w:rsidR="00270B88">
        <w:rPr>
          <w:rFonts w:eastAsia="宋体"/>
          <w:lang w:eastAsia="zh-CN"/>
        </w:rPr>
        <w:t>f</w:t>
      </w:r>
      <w:r w:rsidR="00A46769">
        <w:rPr>
          <w:rFonts w:eastAsia="宋体"/>
          <w:lang w:eastAsia="zh-CN"/>
        </w:rPr>
        <w:t>lexibility</w:t>
      </w:r>
      <w:r w:rsidR="00270B88">
        <w:rPr>
          <w:rFonts w:eastAsia="宋体"/>
          <w:lang w:eastAsia="zh-CN"/>
        </w:rPr>
        <w:t xml:space="preserve"> for some wider system bandwidth such as 275 PRB bandwidth to </w:t>
      </w:r>
      <w:r w:rsidR="00A46769">
        <w:rPr>
          <w:rFonts w:eastAsia="宋体"/>
          <w:lang w:eastAsia="zh-CN"/>
        </w:rPr>
        <w:t>allocate</w:t>
      </w:r>
      <w:r w:rsidR="00270B88">
        <w:rPr>
          <w:rFonts w:eastAsia="宋体"/>
          <w:lang w:eastAsia="zh-CN"/>
        </w:rPr>
        <w:t xml:space="preserve"> more continuous PRBs as a BWP.</w:t>
      </w:r>
    </w:p>
    <w:p w14:paraId="09210694" w14:textId="3A7459D2" w:rsidR="00A46769" w:rsidRDefault="00A46769" w:rsidP="00FC39EC">
      <w:pPr>
        <w:rPr>
          <w:rFonts w:eastAsia="宋体"/>
          <w:lang w:eastAsia="zh-CN"/>
        </w:rPr>
      </w:pPr>
      <w:r>
        <w:rPr>
          <w:rFonts w:eastAsia="宋体"/>
          <w:lang w:eastAsia="zh-CN"/>
        </w:rPr>
        <w:t xml:space="preserve">Secondly, option 4 is not preferable because the most of NR features </w:t>
      </w:r>
      <w:r w:rsidR="00493E8B">
        <w:rPr>
          <w:rFonts w:eastAsia="宋体"/>
          <w:lang w:eastAsia="zh-CN"/>
        </w:rPr>
        <w:t xml:space="preserve">cannot be implemented </w:t>
      </w:r>
      <w:r w:rsidR="00AB72BA">
        <w:rPr>
          <w:rFonts w:eastAsia="宋体"/>
          <w:lang w:eastAsia="zh-CN"/>
        </w:rPr>
        <w:t xml:space="preserve">with only DCI 0-0/0-1, such as MIMO schemes including DMRS ports, SRS resource indications, TCI state, and schedule schemes </w:t>
      </w:r>
      <w:r w:rsidR="00493E8B">
        <w:rPr>
          <w:rFonts w:eastAsia="宋体"/>
          <w:lang w:eastAsia="zh-CN"/>
        </w:rPr>
        <w:t>including</w:t>
      </w:r>
      <w:r w:rsidR="00AB72BA">
        <w:rPr>
          <w:rFonts w:eastAsia="宋体"/>
          <w:lang w:eastAsia="zh-CN"/>
        </w:rPr>
        <w:t xml:space="preserve"> flexible and UE-specific time domain resource allocation, DAI indications, CBG based transmission and etc. So we </w:t>
      </w:r>
      <w:r w:rsidR="00493E8B">
        <w:rPr>
          <w:rFonts w:eastAsia="宋体"/>
          <w:lang w:eastAsia="zh-CN"/>
        </w:rPr>
        <w:t xml:space="preserve">do not think that </w:t>
      </w:r>
      <w:r w:rsidR="00AB72BA">
        <w:rPr>
          <w:rFonts w:eastAsia="宋体"/>
          <w:lang w:eastAsia="zh-CN"/>
        </w:rPr>
        <w:t>option 4 is a proper method to meet the budget of DCI sizes and C-RNTI size.</w:t>
      </w:r>
    </w:p>
    <w:p w14:paraId="54A74FEF" w14:textId="7E4CBA39" w:rsidR="00862308" w:rsidRDefault="00AB72BA" w:rsidP="00862308">
      <w:pPr>
        <w:rPr>
          <w:rFonts w:eastAsia="宋体"/>
          <w:lang w:eastAsia="zh-CN"/>
        </w:rPr>
      </w:pPr>
      <w:r>
        <w:rPr>
          <w:rFonts w:eastAsia="宋体"/>
          <w:lang w:eastAsia="zh-CN"/>
        </w:rPr>
        <w:t xml:space="preserve">Thirdly, </w:t>
      </w:r>
      <w:r w:rsidR="006436A2">
        <w:rPr>
          <w:rFonts w:eastAsia="宋体"/>
          <w:lang w:eastAsia="zh-CN"/>
        </w:rPr>
        <w:t xml:space="preserve">for </w:t>
      </w:r>
      <w:r w:rsidR="00862308">
        <w:rPr>
          <w:rFonts w:eastAsia="宋体"/>
          <w:lang w:eastAsia="zh-CN"/>
        </w:rPr>
        <w:t xml:space="preserve">option 1 and option 5, </w:t>
      </w:r>
      <w:r w:rsidR="002E7014">
        <w:rPr>
          <w:rFonts w:eastAsia="宋体"/>
          <w:lang w:eastAsia="zh-CN"/>
        </w:rPr>
        <w:t xml:space="preserve">they </w:t>
      </w:r>
      <w:r w:rsidR="00862308">
        <w:rPr>
          <w:rFonts w:eastAsia="宋体"/>
          <w:lang w:eastAsia="zh-CN"/>
        </w:rPr>
        <w:t>can both reduce one DCI size</w:t>
      </w:r>
      <w:r w:rsidR="006436A2">
        <w:rPr>
          <w:rFonts w:eastAsia="宋体"/>
          <w:lang w:eastAsia="zh-CN"/>
        </w:rPr>
        <w:t xml:space="preserve"> when DCI </w:t>
      </w:r>
      <w:r w:rsidR="006436A2">
        <w:t>format 0-0/1-0 in USS is configured</w:t>
      </w:r>
      <w:r w:rsidR="006436A2">
        <w:rPr>
          <w:rFonts w:eastAsia="宋体"/>
          <w:lang w:eastAsia="zh-CN"/>
        </w:rPr>
        <w:t>. B</w:t>
      </w:r>
      <w:r w:rsidR="00862308">
        <w:rPr>
          <w:rFonts w:eastAsia="宋体"/>
          <w:lang w:eastAsia="zh-CN"/>
        </w:rPr>
        <w:t xml:space="preserve">ut </w:t>
      </w:r>
      <w:r w:rsidR="006436A2">
        <w:rPr>
          <w:rFonts w:eastAsia="宋体"/>
          <w:lang w:eastAsia="zh-CN"/>
        </w:rPr>
        <w:t xml:space="preserve">as known as the discussion above, it is not the limited point if DCI </w:t>
      </w:r>
      <w:r w:rsidR="006436A2">
        <w:t>format 0-0/1-0 in USS</w:t>
      </w:r>
      <w:r w:rsidR="006436A2">
        <w:rPr>
          <w:rFonts w:eastAsia="宋体"/>
          <w:lang w:eastAsia="zh-CN"/>
        </w:rPr>
        <w:t xml:space="preserve"> is configured. </w:t>
      </w:r>
    </w:p>
    <w:p w14:paraId="0100BE04" w14:textId="474CA390" w:rsidR="00C84664" w:rsidRPr="00C84664" w:rsidRDefault="00DC7575" w:rsidP="00C84664">
      <w:pPr>
        <w:rPr>
          <w:rFonts w:eastAsia="宋体"/>
          <w:lang w:eastAsia="zh-CN"/>
        </w:rPr>
      </w:pPr>
      <w:r>
        <w:rPr>
          <w:rFonts w:eastAsia="宋体"/>
          <w:lang w:eastAsia="zh-CN"/>
        </w:rPr>
        <w:t xml:space="preserve">At </w:t>
      </w:r>
      <w:r w:rsidR="00B7539C">
        <w:rPr>
          <w:rFonts w:eastAsia="宋体"/>
          <w:lang w:eastAsia="zh-CN"/>
        </w:rPr>
        <w:t xml:space="preserve">last, </w:t>
      </w:r>
      <w:r w:rsidR="00F669AB">
        <w:rPr>
          <w:rFonts w:eastAsia="宋体"/>
          <w:lang w:eastAsia="zh-CN"/>
        </w:rPr>
        <w:t xml:space="preserve">regarding to option </w:t>
      </w:r>
      <w:r w:rsidR="006436A2">
        <w:rPr>
          <w:rFonts w:eastAsia="宋体"/>
          <w:lang w:eastAsia="zh-CN"/>
        </w:rPr>
        <w:t>2</w:t>
      </w:r>
      <w:r w:rsidR="00F669AB">
        <w:rPr>
          <w:rFonts w:eastAsia="宋体"/>
          <w:lang w:eastAsia="zh-CN"/>
        </w:rPr>
        <w:t>, if UE is configured with DCI format</w:t>
      </w:r>
      <w:bookmarkStart w:id="4" w:name="OLE_LINK23"/>
      <w:bookmarkStart w:id="5" w:name="OLE_LINK24"/>
      <w:r w:rsidR="00F669AB">
        <w:rPr>
          <w:rFonts w:eastAsia="宋体"/>
          <w:lang w:eastAsia="zh-CN"/>
        </w:rPr>
        <w:t xml:space="preserve"> </w:t>
      </w:r>
      <w:r w:rsidR="00C84664">
        <w:rPr>
          <w:rFonts w:eastAsia="宋体"/>
          <w:lang w:eastAsia="zh-CN"/>
        </w:rPr>
        <w:t>0</w:t>
      </w:r>
      <w:r w:rsidR="00F669AB">
        <w:rPr>
          <w:rFonts w:eastAsia="宋体"/>
          <w:lang w:eastAsia="zh-CN"/>
        </w:rPr>
        <w:t>-</w:t>
      </w:r>
      <w:r w:rsidR="00C84664">
        <w:rPr>
          <w:rFonts w:eastAsia="宋体"/>
          <w:lang w:eastAsia="zh-CN"/>
        </w:rPr>
        <w:t>1</w:t>
      </w:r>
      <w:r w:rsidR="00F669AB">
        <w:rPr>
          <w:rFonts w:eastAsia="宋体"/>
          <w:lang w:eastAsia="zh-CN"/>
        </w:rPr>
        <w:t xml:space="preserve"> and </w:t>
      </w:r>
      <w:r w:rsidR="00C84664">
        <w:rPr>
          <w:rFonts w:eastAsia="宋体"/>
          <w:lang w:eastAsia="zh-CN"/>
        </w:rPr>
        <w:t>1</w:t>
      </w:r>
      <w:r w:rsidR="00F669AB">
        <w:rPr>
          <w:rFonts w:eastAsia="宋体"/>
          <w:lang w:eastAsia="zh-CN"/>
        </w:rPr>
        <w:t>-1</w:t>
      </w:r>
      <w:bookmarkEnd w:id="4"/>
      <w:bookmarkEnd w:id="5"/>
      <w:r w:rsidR="007673D0">
        <w:rPr>
          <w:rFonts w:eastAsia="宋体"/>
          <w:lang w:eastAsia="zh-CN"/>
        </w:rPr>
        <w:t xml:space="preserve"> </w:t>
      </w:r>
      <w:r w:rsidR="00C84664">
        <w:rPr>
          <w:rFonts w:eastAsia="宋体"/>
          <w:lang w:eastAsia="zh-CN"/>
        </w:rPr>
        <w:t xml:space="preserve">in USS </w:t>
      </w:r>
      <w:r w:rsidR="007673D0">
        <w:rPr>
          <w:rFonts w:eastAsia="宋体"/>
          <w:lang w:eastAsia="zh-CN"/>
        </w:rPr>
        <w:t>for one cell</w:t>
      </w:r>
      <w:r w:rsidR="00F669AB">
        <w:rPr>
          <w:rFonts w:eastAsia="宋体"/>
          <w:lang w:eastAsia="zh-CN"/>
        </w:rPr>
        <w:t>,</w:t>
      </w:r>
      <w:r w:rsidR="00C84664">
        <w:rPr>
          <w:rFonts w:eastAsia="宋体"/>
          <w:lang w:eastAsia="zh-CN"/>
        </w:rPr>
        <w:t xml:space="preserve"> it r</w:t>
      </w:r>
      <w:r w:rsidR="00C84664" w:rsidRPr="00C84664">
        <w:rPr>
          <w:rFonts w:eastAsia="宋体"/>
          <w:lang w:eastAsia="zh-CN"/>
        </w:rPr>
        <w:t xml:space="preserve">equires </w:t>
      </w:r>
      <w:r w:rsidR="00C84664">
        <w:rPr>
          <w:rFonts w:eastAsia="宋体"/>
          <w:lang w:eastAsia="zh-CN"/>
        </w:rPr>
        <w:t xml:space="preserve">some </w:t>
      </w:r>
      <w:r w:rsidR="00C84664" w:rsidRPr="00C84664">
        <w:rPr>
          <w:rFonts w:eastAsia="宋体"/>
          <w:lang w:eastAsia="zh-CN"/>
        </w:rPr>
        <w:t xml:space="preserve">padding </w:t>
      </w:r>
      <w:r w:rsidR="00C84664">
        <w:rPr>
          <w:rFonts w:eastAsia="宋体"/>
          <w:lang w:eastAsia="zh-CN"/>
        </w:rPr>
        <w:t>bits to the smaller</w:t>
      </w:r>
      <w:r w:rsidR="00C84664" w:rsidRPr="00C84664">
        <w:rPr>
          <w:rFonts w:eastAsia="宋体"/>
          <w:lang w:eastAsia="zh-CN"/>
        </w:rPr>
        <w:t xml:space="preserve"> of the two formats</w:t>
      </w:r>
      <w:r w:rsidR="00C84664">
        <w:rPr>
          <w:rFonts w:eastAsia="宋体"/>
          <w:lang w:eastAsia="zh-CN"/>
        </w:rPr>
        <w:t>.</w:t>
      </w:r>
      <w:r w:rsidR="000E003A">
        <w:rPr>
          <w:rFonts w:eastAsia="宋体"/>
          <w:lang w:eastAsia="zh-CN"/>
        </w:rPr>
        <w:t xml:space="preserve"> </w:t>
      </w:r>
      <w:r w:rsidR="001328DD">
        <w:rPr>
          <w:rFonts w:eastAsia="宋体"/>
          <w:lang w:eastAsia="zh-CN"/>
        </w:rPr>
        <w:t xml:space="preserve">Compared with all these options, </w:t>
      </w:r>
      <w:r w:rsidR="000E003A">
        <w:rPr>
          <w:rFonts w:eastAsia="宋体"/>
          <w:lang w:eastAsia="zh-CN"/>
        </w:rPr>
        <w:t xml:space="preserve">we think it is a better choice. </w:t>
      </w:r>
      <w:r w:rsidR="001328DD">
        <w:rPr>
          <w:rFonts w:eastAsia="宋体"/>
          <w:lang w:eastAsia="zh-CN"/>
        </w:rPr>
        <w:t>So it is proposed to align DCI size of format 0-1 and 1-1.</w:t>
      </w:r>
      <w:bookmarkStart w:id="6" w:name="_GoBack"/>
      <w:bookmarkEnd w:id="6"/>
    </w:p>
    <w:p w14:paraId="45361AA3" w14:textId="694486DA" w:rsidR="007673D0" w:rsidRPr="00F26FB1" w:rsidRDefault="007673D0" w:rsidP="007673D0">
      <w:pPr>
        <w:pStyle w:val="afe"/>
        <w:numPr>
          <w:ilvl w:val="0"/>
          <w:numId w:val="36"/>
        </w:numPr>
        <w:ind w:leftChars="0"/>
        <w:rPr>
          <w:rFonts w:eastAsia="宋体"/>
          <w:b/>
          <w:lang w:eastAsia="zh-CN"/>
        </w:rPr>
      </w:pPr>
      <w:r w:rsidRPr="00F26FB1">
        <w:rPr>
          <w:b/>
        </w:rPr>
        <w:t xml:space="preserve">Align </w:t>
      </w:r>
      <w:r w:rsidRPr="00F26FB1">
        <w:rPr>
          <w:rFonts w:eastAsia="宋体"/>
          <w:b/>
          <w:lang w:eastAsia="zh-CN"/>
        </w:rPr>
        <w:t xml:space="preserve">DCI size of </w:t>
      </w:r>
      <w:r w:rsidRPr="00F26FB1">
        <w:rPr>
          <w:b/>
        </w:rPr>
        <w:t xml:space="preserve">format </w:t>
      </w:r>
      <w:r w:rsidR="00C84664" w:rsidRPr="00F26FB1">
        <w:rPr>
          <w:rFonts w:eastAsia="宋体"/>
          <w:b/>
          <w:lang w:eastAsia="zh-CN"/>
        </w:rPr>
        <w:t>0-1 and 1-1.</w:t>
      </w:r>
    </w:p>
    <w:p w14:paraId="76856600" w14:textId="77777777" w:rsidR="00862308" w:rsidRPr="00FC39EC" w:rsidRDefault="00862308" w:rsidP="00FC39EC">
      <w:pPr>
        <w:rPr>
          <w:rFonts w:eastAsia="宋体"/>
          <w:lang w:eastAsia="zh-CN"/>
        </w:rPr>
      </w:pPr>
    </w:p>
    <w:p w14:paraId="526B2350" w14:textId="52CEACC6" w:rsidR="00DC6DD9" w:rsidRDefault="00B23322" w:rsidP="00F5563F">
      <w:pPr>
        <w:pStyle w:val="2"/>
      </w:pPr>
      <w:r>
        <w:t>Interpret the frequency-domain field</w:t>
      </w:r>
    </w:p>
    <w:p w14:paraId="4815A65D" w14:textId="77777777" w:rsidR="000F5644" w:rsidRDefault="00951CF6" w:rsidP="00143979">
      <w:pPr>
        <w:pStyle w:val="af0"/>
      </w:pPr>
      <w:r>
        <w:t>Interpret</w:t>
      </w:r>
      <w:r w:rsidR="00435283">
        <w:t>ing</w:t>
      </w:r>
      <w:r>
        <w:t xml:space="preserve"> the frequency-domain field bits based on a BWP in one DCI format to another</w:t>
      </w:r>
      <w:r w:rsidR="00143979">
        <w:t xml:space="preserve"> </w:t>
      </w:r>
      <w:r>
        <w:t>BWP</w:t>
      </w:r>
      <w:r w:rsidR="00143979">
        <w:t xml:space="preserve"> is required. At least for the </w:t>
      </w:r>
      <w:r w:rsidR="000F5644">
        <w:t xml:space="preserve">DCI format 0-0/1-0 in </w:t>
      </w:r>
      <w:r w:rsidR="00143979">
        <w:t>CSS</w:t>
      </w:r>
      <w:r w:rsidR="000F5644" w:rsidRPr="000F5644">
        <w:t xml:space="preserve"> </w:t>
      </w:r>
      <w:r w:rsidR="000F5644">
        <w:t xml:space="preserve">is defined by the initial BWP even if another (differently sized) BWP is active in the UE, and one DCI format 0-1/1-1 contains a different BWP index with the active BWP. </w:t>
      </w:r>
      <w:r w:rsidR="00143979">
        <w:t xml:space="preserve"> </w:t>
      </w:r>
    </w:p>
    <w:p w14:paraId="6483F215" w14:textId="77777777" w:rsidR="00AB6026" w:rsidRDefault="00143979" w:rsidP="000F5644">
      <w:pPr>
        <w:pStyle w:val="af0"/>
      </w:pPr>
      <w:r>
        <w:t>For DCI formats 0-0/1-0, only resource-allocation type 1 is used.</w:t>
      </w:r>
      <w:r w:rsidR="000F5644">
        <w:t xml:space="preserve"> For DCI formats 0-1/1-1, resource-allocation type 0 only, or resource-allocation type 1 only, or both resource-allocation type 0 and 1 is used. </w:t>
      </w:r>
    </w:p>
    <w:p w14:paraId="1D587C0E" w14:textId="3109F570" w:rsidR="005478D9" w:rsidRDefault="000F5644" w:rsidP="000F5644">
      <w:pPr>
        <w:pStyle w:val="af0"/>
      </w:pPr>
      <w:r>
        <w:t xml:space="preserve">It is more adjustable for RA type 0 when applied to interpret case discussed above, for RA type 0 is based on </w:t>
      </w:r>
      <w:r w:rsidR="002E7014">
        <w:t xml:space="preserve">RBG </w:t>
      </w:r>
      <w:r>
        <w:t xml:space="preserve">which </w:t>
      </w:r>
      <w:r w:rsidR="005C1E3E">
        <w:t>will be</w:t>
      </w:r>
      <w:r>
        <w:t xml:space="preserve"> changed to </w:t>
      </w:r>
      <w:r w:rsidR="005C1E3E">
        <w:t>the RBG size</w:t>
      </w:r>
      <w:r>
        <w:t xml:space="preserve"> in </w:t>
      </w:r>
      <w:r w:rsidR="005C1E3E">
        <w:t xml:space="preserve">the new </w:t>
      </w:r>
      <w:r>
        <w:t>BWP.</w:t>
      </w:r>
      <w:r w:rsidR="005478D9">
        <w:t xml:space="preserve"> F</w:t>
      </w:r>
      <w:r>
        <w:t xml:space="preserve">requency resource allocation field can be truncated or padded to match the need of the active BWP. </w:t>
      </w:r>
    </w:p>
    <w:p w14:paraId="24CD0467" w14:textId="6619A985" w:rsidR="00143979" w:rsidRDefault="000F5644" w:rsidP="00143979">
      <w:pPr>
        <w:pStyle w:val="af0"/>
      </w:pPr>
      <w:r>
        <w:t xml:space="preserve">But for RA type 1, </w:t>
      </w:r>
      <w:r w:rsidR="008F2E1F">
        <w:t>s</w:t>
      </w:r>
      <w:r w:rsidR="005478D9">
        <w:t>everal</w:t>
      </w:r>
      <w:r w:rsidR="00143979">
        <w:t xml:space="preserve"> solutions</w:t>
      </w:r>
      <w:r w:rsidR="005478D9">
        <w:t xml:space="preserve"> </w:t>
      </w:r>
      <w:r w:rsidR="005C1E3E">
        <w:t xml:space="preserve">have </w:t>
      </w:r>
      <w:r w:rsidR="005478D9">
        <w:t>been discussed</w:t>
      </w:r>
      <w:r w:rsidR="008F2E1F">
        <w:t xml:space="preserve"> for DCI 1-0/0-0 in USS or DCI </w:t>
      </w:r>
      <w:r w:rsidR="006C24F9">
        <w:t>0-1/1-1</w:t>
      </w:r>
      <w:r w:rsidR="00F03F87">
        <w:t xml:space="preserve"> indicate BWP switching. If initial BWP is wider than or equal to active BWP for DCI 1-0/0-0 in USS, or if active BWP is wider than or equal to the scheduled BWP, RIV field is truncated to match the need of the active BWP. When initial BWP (BWP1) is narrow</w:t>
      </w:r>
      <w:r w:rsidR="005C1E3E">
        <w:t>er</w:t>
      </w:r>
      <w:r w:rsidR="00F03F87">
        <w:t xml:space="preserve"> than the active BWP (BWP2) for DCI 1-0/0-0 in USS, or if active BWP (BWP1) is narrow than the scheduled BWP (BWP2), the methods contains:</w:t>
      </w:r>
    </w:p>
    <w:p w14:paraId="682EA940" w14:textId="70901E09" w:rsidR="00143979" w:rsidRDefault="005478D9" w:rsidP="00AB6026">
      <w:pPr>
        <w:pStyle w:val="afe"/>
        <w:numPr>
          <w:ilvl w:val="0"/>
          <w:numId w:val="37"/>
        </w:numPr>
        <w:ind w:leftChars="0"/>
      </w:pPr>
      <w:bookmarkStart w:id="7" w:name="OLE_LINK3"/>
      <w:bookmarkStart w:id="8" w:name="OLE_LINK4"/>
      <w:r>
        <w:t xml:space="preserve">Option 1: </w:t>
      </w:r>
      <w:bookmarkEnd w:id="7"/>
      <w:bookmarkEnd w:id="8"/>
      <w:r w:rsidR="00F03F87">
        <w:t>RIV</w:t>
      </w:r>
      <w:r w:rsidR="00143979">
        <w:t xml:space="preserve"> is interpreted according to BWP</w:t>
      </w:r>
      <w:r w:rsidR="00F03F87">
        <w:t>1</w:t>
      </w:r>
      <w:r w:rsidR="00143979">
        <w:t>, resulting in start and length. The</w:t>
      </w:r>
      <w:r w:rsidR="00F03F87">
        <w:t xml:space="preserve"> start/length is applied to </w:t>
      </w:r>
      <w:r w:rsidR="00143979">
        <w:t>BWP</w:t>
      </w:r>
      <w:r w:rsidR="00F03F87">
        <w:t>2.</w:t>
      </w:r>
    </w:p>
    <w:p w14:paraId="1F0E6EE4" w14:textId="53AC116B" w:rsidR="00143979" w:rsidRDefault="005478D9" w:rsidP="00AB6026">
      <w:pPr>
        <w:pStyle w:val="afe"/>
        <w:numPr>
          <w:ilvl w:val="0"/>
          <w:numId w:val="37"/>
        </w:numPr>
        <w:ind w:leftChars="0"/>
      </w:pPr>
      <w:r>
        <w:t xml:space="preserve">Option 2: </w:t>
      </w:r>
      <w:r w:rsidR="00143979">
        <w:t xml:space="preserve">RIV field is </w:t>
      </w:r>
      <w:r w:rsidR="00F03F87">
        <w:t xml:space="preserve">padded </w:t>
      </w:r>
      <w:r w:rsidR="00143979">
        <w:t>to match BWP</w:t>
      </w:r>
      <w:r w:rsidR="00F03F87">
        <w:t>2</w:t>
      </w:r>
      <w:r w:rsidR="00143979">
        <w:t xml:space="preserve">. </w:t>
      </w:r>
      <w:r w:rsidR="00F03F87">
        <w:t>I</w:t>
      </w:r>
      <w:r w:rsidRPr="005478D9">
        <w:t>t results in severe length limitations for the wider BWP as stated in [</w:t>
      </w:r>
      <w:r w:rsidR="00652DB5">
        <w:t>2</w:t>
      </w:r>
      <w:r w:rsidRPr="005478D9">
        <w:t>].</w:t>
      </w:r>
    </w:p>
    <w:p w14:paraId="05D1DB17" w14:textId="0BB8C734" w:rsidR="00143979" w:rsidRDefault="005478D9" w:rsidP="00AB6026">
      <w:pPr>
        <w:pStyle w:val="afe"/>
        <w:numPr>
          <w:ilvl w:val="0"/>
          <w:numId w:val="37"/>
        </w:numPr>
        <w:ind w:leftChars="0"/>
      </w:pPr>
      <w:r>
        <w:lastRenderedPageBreak/>
        <w:t xml:space="preserve">Option 3: </w:t>
      </w:r>
      <w:r w:rsidR="00F03F87">
        <w:t>RIV</w:t>
      </w:r>
      <w:r w:rsidR="00143979">
        <w:t xml:space="preserve"> is interpreted according to BWP</w:t>
      </w:r>
      <w:r w:rsidR="00F03F87">
        <w:t>1</w:t>
      </w:r>
      <w:r w:rsidR="00143979">
        <w:t>, resulting in start and length. The start/length is scaled by a factor K and then applied to the BWP</w:t>
      </w:r>
      <w:r w:rsidR="00F03F87">
        <w:t>2. It</w:t>
      </w:r>
      <w:r w:rsidR="00143979">
        <w:t xml:space="preserve"> is similar to the way format 1C is handled in LTE. Allows for a wider range in start and length.</w:t>
      </w:r>
    </w:p>
    <w:p w14:paraId="4ABEBA61" w14:textId="6789EF8F" w:rsidR="00F03F87" w:rsidRDefault="00F03F87" w:rsidP="00F03F87">
      <w:r>
        <w:t xml:space="preserve">Compared with Option 3, Option 1 and 2 have limited scheduled bandwidth, </w:t>
      </w:r>
      <w:r w:rsidR="00CD78D5">
        <w:t xml:space="preserve">and </w:t>
      </w:r>
      <w:r>
        <w:t xml:space="preserve">especially option 2 can’t work when BWP1 and BWP 2 have </w:t>
      </w:r>
      <w:r w:rsidR="00F73D8D">
        <w:t>larger distant PRB numbers.</w:t>
      </w:r>
      <w:r w:rsidR="00AB6026">
        <w:t xml:space="preserve"> And according to option 3, we provide a method with the start point of LTE format 1C, and can be applied to both interpretation cases.</w:t>
      </w:r>
    </w:p>
    <w:p w14:paraId="18CA55E5" w14:textId="0C8DD9E3" w:rsidR="00E80BC2" w:rsidRDefault="00C05611" w:rsidP="00F03F87">
      <w:r>
        <w:t>RIV is interpreted according to BWP1, resulting in start and length of RB group. The start/length is scaled by one or two calculated factor K1 and K2</w:t>
      </w:r>
      <w:r w:rsidR="00E80BC2">
        <w:t xml:space="preserve"> based on the PRB number of BWP1 and BWP2, similarly as CB numbers in CBG</w:t>
      </w:r>
      <w:r>
        <w:t>.</w:t>
      </w:r>
    </w:p>
    <w:p w14:paraId="6A0D051C" w14:textId="3BC93C41" w:rsidR="00E80BC2" w:rsidRPr="00E80BC2" w:rsidRDefault="00C05611" w:rsidP="00E80BC2">
      <w:pPr>
        <w:pStyle w:val="afe"/>
        <w:numPr>
          <w:ilvl w:val="0"/>
          <w:numId w:val="38"/>
        </w:numPr>
        <w:ind w:leftChars="0"/>
        <w:rPr>
          <w:rFonts w:eastAsia="Malgun Gothic"/>
        </w:rPr>
      </w:pPr>
      <w:r>
        <w:t xml:space="preserve">Each of the first </w:t>
      </w:r>
      <w:r w:rsidRPr="008B4A04">
        <w:rPr>
          <w:rFonts w:eastAsia="Malgun Gothic"/>
          <w:position w:val="-14"/>
        </w:rPr>
        <w:object w:dxaOrig="2580" w:dyaOrig="400" w14:anchorId="6EF86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5pt;height:14.5pt" o:ole="">
            <v:imagedata r:id="rId9" o:title=""/>
          </v:shape>
          <o:OLEObject Type="Embed" ProgID="Equation.DSMT4" ShapeID="_x0000_i1025" DrawAspect="Content" ObjectID="_1584514047" r:id="rId10"/>
        </w:object>
      </w:r>
      <w:r w:rsidRPr="00E80BC2">
        <w:rPr>
          <w:rFonts w:eastAsia="Malgun Gothic"/>
        </w:rPr>
        <w:t xml:space="preserve"> RB group contains </w:t>
      </w:r>
      <w:r w:rsidR="00E80BC2" w:rsidRPr="00E80BC2">
        <w:rPr>
          <w:rFonts w:eastAsia="Malgun Gothic"/>
        </w:rPr>
        <w:t>K1=</w:t>
      </w:r>
      <w:r w:rsidRPr="008B4A04">
        <w:rPr>
          <w:position w:val="-14"/>
        </w:rPr>
        <w:object w:dxaOrig="1600" w:dyaOrig="400" w14:anchorId="41C320E8">
          <v:shape id="_x0000_i1026" type="#_x0000_t75" style="width:58.5pt;height:14.25pt" o:ole="">
            <v:imagedata r:id="rId11" o:title=""/>
          </v:shape>
          <o:OLEObject Type="Embed" ProgID="Equation.DSMT4" ShapeID="_x0000_i1026" DrawAspect="Content" ObjectID="_1584514048" r:id="rId12"/>
        </w:object>
      </w:r>
      <w:r>
        <w:t xml:space="preserve">VRBs, where RB </w:t>
      </w:r>
      <w:r w:rsidR="00E80BC2">
        <w:t xml:space="preserve">group </w:t>
      </w:r>
      <w:r w:rsidR="00E80BC2" w:rsidRPr="008B4A04">
        <w:rPr>
          <w:position w:val="-6"/>
        </w:rPr>
        <w:object w:dxaOrig="1460" w:dyaOrig="279" w14:anchorId="75D22923">
          <v:shape id="_x0000_i1027" type="#_x0000_t75" style="width:59.4pt;height:11.95pt" o:ole="">
            <v:imagedata r:id="rId13" o:title=""/>
          </v:shape>
          <o:OLEObject Type="Embed" ProgID="Equation.DSMT4" ShapeID="_x0000_i1027" DrawAspect="Content" ObjectID="_1584514049" r:id="rId14"/>
        </w:object>
      </w:r>
      <w:r w:rsidR="00E80BC2">
        <w:t xml:space="preserve">, includes VRBs </w:t>
      </w:r>
      <w:r w:rsidR="00E80BC2" w:rsidRPr="008B4A04">
        <w:rPr>
          <w:rFonts w:eastAsia="Malgun Gothic"/>
          <w:position w:val="-14"/>
        </w:rPr>
        <w:object w:dxaOrig="4900" w:dyaOrig="440" w14:anchorId="79A0927C">
          <v:shape id="_x0000_i1028" type="#_x0000_t75" style="width:194.05pt;height:18.95pt" o:ole="">
            <v:imagedata r:id="rId15" o:title=""/>
          </v:shape>
          <o:OLEObject Type="Embed" ProgID="Equation.DSMT4" ShapeID="_x0000_i1028" DrawAspect="Content" ObjectID="_1584514050" r:id="rId16"/>
        </w:object>
      </w:r>
      <w:r w:rsidR="00E80BC2" w:rsidRPr="00E80BC2">
        <w:rPr>
          <w:rFonts w:eastAsia="Malgun Gothic"/>
        </w:rPr>
        <w:t xml:space="preserve">. </w:t>
      </w:r>
    </w:p>
    <w:p w14:paraId="7639E4FC" w14:textId="12E6AC5E" w:rsidR="00C05611" w:rsidRPr="00E80BC2" w:rsidRDefault="00E80BC2" w:rsidP="00E80BC2">
      <w:pPr>
        <w:pStyle w:val="afe"/>
        <w:numPr>
          <w:ilvl w:val="0"/>
          <w:numId w:val="38"/>
        </w:numPr>
        <w:ind w:leftChars="0"/>
        <w:rPr>
          <w:rFonts w:eastAsia="宋体"/>
        </w:rPr>
      </w:pPr>
      <w:r w:rsidRPr="00E80BC2">
        <w:rPr>
          <w:rFonts w:eastAsia="Malgun Gothic"/>
        </w:rPr>
        <w:t xml:space="preserve">Each of the last </w:t>
      </w:r>
      <w:r w:rsidRPr="008B4A04">
        <w:rPr>
          <w:position w:val="-14"/>
        </w:rPr>
        <w:object w:dxaOrig="4680" w:dyaOrig="400" w14:anchorId="746F93C6">
          <v:shape id="_x0000_i1029" type="#_x0000_t75" style="width:208.5pt;height:14.5pt" o:ole="">
            <v:imagedata r:id="rId17" o:title=""/>
          </v:shape>
          <o:OLEObject Type="Embed" ProgID="Equation.DSMT4" ShapeID="_x0000_i1029" DrawAspect="Content" ObjectID="_1584514051" r:id="rId18"/>
        </w:object>
      </w:r>
      <w:r w:rsidRPr="00E80BC2">
        <w:rPr>
          <w:rFonts w:eastAsia="Malgun Gothic"/>
        </w:rPr>
        <w:t>RB groups includes K2=</w:t>
      </w:r>
      <w:r w:rsidRPr="008B4A04">
        <w:rPr>
          <w:position w:val="-14"/>
        </w:rPr>
        <w:object w:dxaOrig="1600" w:dyaOrig="400" w14:anchorId="13942543">
          <v:shape id="_x0000_i1030" type="#_x0000_t75" style="width:58.4pt;height:16.1pt" o:ole="">
            <v:imagedata r:id="rId19" o:title=""/>
          </v:shape>
          <o:OLEObject Type="Embed" ProgID="Equation.DSMT4" ShapeID="_x0000_i1030" DrawAspect="Content" ObjectID="_1584514052" r:id="rId20"/>
        </w:object>
      </w:r>
      <w:r>
        <w:t xml:space="preserve"> VRBs.</w:t>
      </w:r>
    </w:p>
    <w:p w14:paraId="5ECEBA73" w14:textId="0189395F" w:rsidR="00143979" w:rsidRPr="000E2AD5" w:rsidRDefault="000E2AD5" w:rsidP="005D2D28">
      <w:pPr>
        <w:pStyle w:val="af0"/>
        <w:numPr>
          <w:ilvl w:val="0"/>
          <w:numId w:val="36"/>
        </w:numPr>
        <w:rPr>
          <w:b/>
          <w:lang w:eastAsia="zh-CN"/>
        </w:rPr>
      </w:pPr>
      <w:r w:rsidRPr="000E2AD5">
        <w:rPr>
          <w:b/>
        </w:rPr>
        <w:t xml:space="preserve">Option 3 </w:t>
      </w:r>
      <w:r w:rsidR="00CD78D5">
        <w:rPr>
          <w:b/>
        </w:rPr>
        <w:t>that</w:t>
      </w:r>
      <w:r w:rsidR="00CD78D5" w:rsidRPr="000E2AD5">
        <w:rPr>
          <w:b/>
        </w:rPr>
        <w:t xml:space="preserve"> </w:t>
      </w:r>
      <w:r w:rsidRPr="000E2AD5">
        <w:rPr>
          <w:b/>
        </w:rPr>
        <w:t>RIV is interpreted according to BWP1</w:t>
      </w:r>
      <w:r w:rsidR="005D2D28" w:rsidRPr="000E2AD5">
        <w:rPr>
          <w:rFonts w:eastAsia="宋体" w:hint="eastAsia"/>
          <w:b/>
          <w:lang w:eastAsia="zh-CN"/>
        </w:rPr>
        <w:t xml:space="preserve"> </w:t>
      </w:r>
      <w:r w:rsidR="005D2D28" w:rsidRPr="000E2AD5">
        <w:rPr>
          <w:rFonts w:eastAsia="宋体"/>
          <w:b/>
          <w:lang w:eastAsia="zh-CN"/>
        </w:rPr>
        <w:t xml:space="preserve">is adopted and enhanced scaled factor of K1 and K2 similarly with CBG calculation </w:t>
      </w:r>
      <w:r w:rsidR="00CD78D5">
        <w:rPr>
          <w:rFonts w:eastAsia="宋体"/>
          <w:b/>
          <w:lang w:eastAsia="zh-CN"/>
        </w:rPr>
        <w:t>should</w:t>
      </w:r>
      <w:r w:rsidR="00CD78D5" w:rsidRPr="000E2AD5">
        <w:rPr>
          <w:rFonts w:eastAsia="宋体"/>
          <w:b/>
          <w:lang w:eastAsia="zh-CN"/>
        </w:rPr>
        <w:t xml:space="preserve"> </w:t>
      </w:r>
      <w:r w:rsidR="005D2D28" w:rsidRPr="000E2AD5">
        <w:rPr>
          <w:rFonts w:eastAsia="宋体"/>
          <w:b/>
          <w:lang w:eastAsia="zh-CN"/>
        </w:rPr>
        <w:t xml:space="preserve">be applied. </w:t>
      </w:r>
    </w:p>
    <w:p w14:paraId="35978517" w14:textId="77777777" w:rsidR="00BD1E4F" w:rsidRDefault="00BD1E4F" w:rsidP="00BD1E4F">
      <w:pPr>
        <w:pStyle w:val="1"/>
        <w:tabs>
          <w:tab w:val="num" w:pos="426"/>
        </w:tabs>
        <w:ind w:left="426" w:hanging="426"/>
        <w:rPr>
          <w:szCs w:val="36"/>
          <w:lang w:eastAsia="ja-JP"/>
        </w:rPr>
      </w:pPr>
      <w:bookmarkStart w:id="9" w:name="OLE_LINK33"/>
      <w:bookmarkStart w:id="10"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0D095A42" w14:textId="77777777" w:rsidR="00F26FB1" w:rsidRPr="00F26FB1" w:rsidRDefault="00F26FB1" w:rsidP="00F26FB1">
      <w:pPr>
        <w:jc w:val="both"/>
        <w:textAlignment w:val="center"/>
        <w:rPr>
          <w:b/>
          <w:i/>
        </w:rPr>
      </w:pPr>
      <w:r w:rsidRPr="00F26FB1">
        <w:rPr>
          <w:b/>
          <w:i/>
        </w:rPr>
        <w:t>Observation 1.</w:t>
      </w:r>
      <w:r w:rsidRPr="00F26FB1">
        <w:rPr>
          <w:b/>
          <w:i/>
        </w:rPr>
        <w:tab/>
        <w:t>When UE monitors DCI in initial BWP, there are five DCI sizes monitored per slot.</w:t>
      </w:r>
    </w:p>
    <w:p w14:paraId="3AD84A0D" w14:textId="77777777" w:rsidR="00F26FB1" w:rsidRPr="00F26FB1" w:rsidRDefault="00F26FB1" w:rsidP="00F26FB1">
      <w:pPr>
        <w:jc w:val="both"/>
        <w:textAlignment w:val="center"/>
        <w:rPr>
          <w:b/>
          <w:i/>
        </w:rPr>
      </w:pPr>
      <w:r w:rsidRPr="00F26FB1">
        <w:rPr>
          <w:b/>
          <w:i/>
        </w:rPr>
        <w:t>Observation 2.</w:t>
      </w:r>
      <w:r w:rsidRPr="00F26FB1">
        <w:rPr>
          <w:b/>
          <w:i/>
        </w:rPr>
        <w:tab/>
        <w:t>When UE monitors DCI in non-initial BWP, there are at most five DCI sizes monitored per slot.</w:t>
      </w:r>
    </w:p>
    <w:p w14:paraId="169DB7C8" w14:textId="77777777" w:rsidR="00F26FB1" w:rsidRPr="00F26FB1" w:rsidRDefault="00F26FB1" w:rsidP="00F26FB1">
      <w:pPr>
        <w:jc w:val="both"/>
        <w:textAlignment w:val="center"/>
        <w:rPr>
          <w:b/>
          <w:i/>
        </w:rPr>
      </w:pPr>
      <w:r w:rsidRPr="00F26FB1">
        <w:rPr>
          <w:b/>
          <w:i/>
        </w:rPr>
        <w:t>Proposal 1.</w:t>
      </w:r>
      <w:r w:rsidRPr="00F26FB1">
        <w:rPr>
          <w:b/>
          <w:i/>
        </w:rPr>
        <w:tab/>
        <w:t>Align DCI size of format 0-1 and 1-1.</w:t>
      </w:r>
    </w:p>
    <w:p w14:paraId="05DC617E" w14:textId="3BA02C14" w:rsidR="003576A2" w:rsidRPr="00F26FB1" w:rsidRDefault="00F26FB1" w:rsidP="00F26FB1">
      <w:pPr>
        <w:jc w:val="both"/>
        <w:textAlignment w:val="center"/>
        <w:rPr>
          <w:b/>
          <w:i/>
        </w:rPr>
      </w:pPr>
      <w:r w:rsidRPr="00F26FB1">
        <w:rPr>
          <w:b/>
          <w:i/>
        </w:rPr>
        <w:t>Proposal 2.</w:t>
      </w:r>
      <w:r w:rsidRPr="00F26FB1">
        <w:rPr>
          <w:b/>
          <w:i/>
        </w:rPr>
        <w:tab/>
        <w:t>Option 3 that RIV is interpreted according to BWP1 is adopted and enhanced scaled factor of K1 and K2 similarly with CBG calculation should be applied.</w:t>
      </w:r>
    </w:p>
    <w:bookmarkEnd w:id="9"/>
    <w:bookmarkEnd w:id="10"/>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4BB065E4" w:rsidR="00C71F7A" w:rsidRDefault="0003702C" w:rsidP="00942D7C">
      <w:pPr>
        <w:pStyle w:val="References"/>
      </w:pPr>
      <w:r>
        <w:t>Final</w:t>
      </w:r>
      <w:r w:rsidRPr="000B1042">
        <w:t xml:space="preserve"> Report of 3GPP TSG RAN WG1 </w:t>
      </w:r>
      <w:r>
        <w:t>#</w:t>
      </w:r>
      <w:r w:rsidR="006D21C6">
        <w:t>9</w:t>
      </w:r>
      <w:r w:rsidR="00652DB5">
        <w:t>2</w:t>
      </w:r>
      <w:r w:rsidR="001D5ACC">
        <w:rPr>
          <w:lang w:eastAsia="ja-JP"/>
        </w:rPr>
        <w:t>.</w:t>
      </w:r>
    </w:p>
    <w:p w14:paraId="2A825BA4" w14:textId="1E180D49" w:rsidR="007F3B3A" w:rsidRPr="00C02629" w:rsidRDefault="00652DB5" w:rsidP="00652DB5">
      <w:pPr>
        <w:pStyle w:val="References"/>
        <w:rPr>
          <w:snapToGrid w:val="0"/>
        </w:rPr>
      </w:pPr>
      <w:r w:rsidRPr="00652DB5">
        <w:rPr>
          <w:snapToGrid w:val="0"/>
        </w:rPr>
        <w:t>R1-1802836</w:t>
      </w:r>
      <w:r w:rsidRPr="00652DB5">
        <w:rPr>
          <w:snapToGrid w:val="0"/>
        </w:rPr>
        <w:tab/>
        <w:t>Discussion on DCI related issues</w:t>
      </w:r>
      <w:r w:rsidRPr="00652DB5">
        <w:rPr>
          <w:snapToGrid w:val="0"/>
        </w:rPr>
        <w:tab/>
        <w:t>Qualcomm Incorporated</w:t>
      </w:r>
    </w:p>
    <w:p w14:paraId="19C49A7D" w14:textId="77777777" w:rsidR="007F3B3A" w:rsidRPr="007F3B3A" w:rsidRDefault="007F3B3A" w:rsidP="007F3B3A"/>
    <w:sectPr w:rsidR="007F3B3A" w:rsidRPr="007F3B3A">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0CD52" w14:textId="77777777" w:rsidR="00012C6F" w:rsidRDefault="00012C6F">
      <w:r>
        <w:separator/>
      </w:r>
    </w:p>
  </w:endnote>
  <w:endnote w:type="continuationSeparator" w:id="0">
    <w:p w14:paraId="3D725371" w14:textId="77777777" w:rsidR="00012C6F" w:rsidRDefault="00012C6F">
      <w:r>
        <w:continuationSeparator/>
      </w:r>
    </w:p>
  </w:endnote>
  <w:endnote w:type="continuationNotice" w:id="1">
    <w:p w14:paraId="7524FF34" w14:textId="77777777" w:rsidR="00012C6F" w:rsidRDefault="00012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0C34FA" w:rsidRDefault="000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0C34FA" w:rsidRDefault="000C3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0C34FA" w:rsidRDefault="000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328DD">
      <w:rPr>
        <w:rStyle w:val="af3"/>
      </w:rPr>
      <w:t>4</w:t>
    </w:r>
    <w:r>
      <w:rPr>
        <w:rStyle w:val="af3"/>
      </w:rPr>
      <w:fldChar w:fldCharType="end"/>
    </w:r>
  </w:p>
  <w:p w14:paraId="1F5C3A06" w14:textId="77777777" w:rsidR="000C34FA" w:rsidRDefault="000C3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DFB08" w14:textId="77777777" w:rsidR="00012C6F" w:rsidRDefault="00012C6F">
      <w:r>
        <w:separator/>
      </w:r>
    </w:p>
  </w:footnote>
  <w:footnote w:type="continuationSeparator" w:id="0">
    <w:p w14:paraId="123B057A" w14:textId="77777777" w:rsidR="00012C6F" w:rsidRDefault="00012C6F">
      <w:r>
        <w:continuationSeparator/>
      </w:r>
    </w:p>
  </w:footnote>
  <w:footnote w:type="continuationNotice" w:id="1">
    <w:p w14:paraId="2E968A2F" w14:textId="77777777" w:rsidR="00012C6F" w:rsidRDefault="00012C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360549"/>
    <w:multiLevelType w:val="hybridMultilevel"/>
    <w:tmpl w:val="F65A8E7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60102C"/>
    <w:multiLevelType w:val="hybridMultilevel"/>
    <w:tmpl w:val="3F7E5204"/>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6E6766"/>
    <w:multiLevelType w:val="hybridMultilevel"/>
    <w:tmpl w:val="EE0E1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49039E"/>
    <w:multiLevelType w:val="hybridMultilevel"/>
    <w:tmpl w:val="EE8C3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6F5CD0"/>
    <w:multiLevelType w:val="hybridMultilevel"/>
    <w:tmpl w:val="25489CAE"/>
    <w:lvl w:ilvl="0" w:tplc="041D0001">
      <w:start w:val="1"/>
      <w:numFmt w:val="bullet"/>
      <w:lvlText w:val=""/>
      <w:lvlJc w:val="left"/>
      <w:pPr>
        <w:ind w:left="568" w:hanging="360"/>
      </w:pPr>
      <w:rPr>
        <w:rFonts w:ascii="Symbol" w:hAnsi="Symbol" w:hint="default"/>
      </w:rPr>
    </w:lvl>
    <w:lvl w:ilvl="1" w:tplc="041D0003">
      <w:start w:val="1"/>
      <w:numFmt w:val="bullet"/>
      <w:lvlText w:val="o"/>
      <w:lvlJc w:val="left"/>
      <w:pPr>
        <w:ind w:left="1288" w:hanging="360"/>
      </w:pPr>
      <w:rPr>
        <w:rFonts w:ascii="Courier New" w:hAnsi="Courier New" w:cs="Courier New" w:hint="default"/>
      </w:rPr>
    </w:lvl>
    <w:lvl w:ilvl="2" w:tplc="041D0005">
      <w:start w:val="1"/>
      <w:numFmt w:val="bullet"/>
      <w:lvlText w:val=""/>
      <w:lvlJc w:val="left"/>
      <w:pPr>
        <w:ind w:left="2008" w:hanging="360"/>
      </w:pPr>
      <w:rPr>
        <w:rFonts w:ascii="Wingdings" w:hAnsi="Wingdings" w:hint="default"/>
      </w:rPr>
    </w:lvl>
    <w:lvl w:ilvl="3" w:tplc="041D0001">
      <w:start w:val="1"/>
      <w:numFmt w:val="bullet"/>
      <w:lvlText w:val=""/>
      <w:lvlJc w:val="left"/>
      <w:pPr>
        <w:ind w:left="2728" w:hanging="360"/>
      </w:pPr>
      <w:rPr>
        <w:rFonts w:ascii="Symbol" w:hAnsi="Symbol" w:hint="default"/>
      </w:rPr>
    </w:lvl>
    <w:lvl w:ilvl="4" w:tplc="041D0003">
      <w:start w:val="1"/>
      <w:numFmt w:val="bullet"/>
      <w:lvlText w:val="o"/>
      <w:lvlJc w:val="left"/>
      <w:pPr>
        <w:ind w:left="3448" w:hanging="360"/>
      </w:pPr>
      <w:rPr>
        <w:rFonts w:ascii="Courier New" w:hAnsi="Courier New" w:cs="Courier New" w:hint="default"/>
      </w:rPr>
    </w:lvl>
    <w:lvl w:ilvl="5" w:tplc="041D0005">
      <w:start w:val="1"/>
      <w:numFmt w:val="bullet"/>
      <w:lvlText w:val=""/>
      <w:lvlJc w:val="left"/>
      <w:pPr>
        <w:ind w:left="4168" w:hanging="360"/>
      </w:pPr>
      <w:rPr>
        <w:rFonts w:ascii="Wingdings" w:hAnsi="Wingdings" w:hint="default"/>
      </w:rPr>
    </w:lvl>
    <w:lvl w:ilvl="6" w:tplc="041D0001">
      <w:start w:val="1"/>
      <w:numFmt w:val="bullet"/>
      <w:lvlText w:val=""/>
      <w:lvlJc w:val="left"/>
      <w:pPr>
        <w:ind w:left="4888" w:hanging="360"/>
      </w:pPr>
      <w:rPr>
        <w:rFonts w:ascii="Symbol" w:hAnsi="Symbol" w:hint="default"/>
      </w:rPr>
    </w:lvl>
    <w:lvl w:ilvl="7" w:tplc="041D0003">
      <w:start w:val="1"/>
      <w:numFmt w:val="bullet"/>
      <w:lvlText w:val="o"/>
      <w:lvlJc w:val="left"/>
      <w:pPr>
        <w:ind w:left="5608" w:hanging="360"/>
      </w:pPr>
      <w:rPr>
        <w:rFonts w:ascii="Courier New" w:hAnsi="Courier New" w:cs="Courier New" w:hint="default"/>
      </w:rPr>
    </w:lvl>
    <w:lvl w:ilvl="8" w:tplc="041D0005">
      <w:start w:val="1"/>
      <w:numFmt w:val="bullet"/>
      <w:lvlText w:val=""/>
      <w:lvlJc w:val="left"/>
      <w:pPr>
        <w:ind w:left="6328" w:hanging="360"/>
      </w:pPr>
      <w:rPr>
        <w:rFonts w:ascii="Wingdings" w:hAnsi="Wingdings" w:hint="default"/>
      </w:rPr>
    </w:lvl>
  </w:abstractNum>
  <w:abstractNum w:abstractNumId="23">
    <w:nsid w:val="55D17122"/>
    <w:multiLevelType w:val="hybridMultilevel"/>
    <w:tmpl w:val="F2E49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7">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start w:val="1"/>
      <w:numFmt w:val="bullet"/>
      <w:lvlText w:val=""/>
      <w:lvlJc w:val="left"/>
      <w:pPr>
        <w:ind w:left="2927" w:hanging="360"/>
      </w:pPr>
      <w:rPr>
        <w:rFonts w:ascii="Symbol" w:hAnsi="Symbol" w:hint="default"/>
      </w:rPr>
    </w:lvl>
    <w:lvl w:ilvl="4" w:tplc="041D0003">
      <w:start w:val="1"/>
      <w:numFmt w:val="bullet"/>
      <w:lvlText w:val="o"/>
      <w:lvlJc w:val="left"/>
      <w:pPr>
        <w:ind w:left="3647" w:hanging="360"/>
      </w:pPr>
      <w:rPr>
        <w:rFonts w:ascii="Courier New" w:hAnsi="Courier New" w:cs="Courier New" w:hint="default"/>
      </w:rPr>
    </w:lvl>
    <w:lvl w:ilvl="5" w:tplc="041D0005">
      <w:start w:val="1"/>
      <w:numFmt w:val="bullet"/>
      <w:lvlText w:val=""/>
      <w:lvlJc w:val="left"/>
      <w:pPr>
        <w:ind w:left="4367" w:hanging="360"/>
      </w:pPr>
      <w:rPr>
        <w:rFonts w:ascii="Wingdings" w:hAnsi="Wingdings" w:hint="default"/>
      </w:rPr>
    </w:lvl>
    <w:lvl w:ilvl="6" w:tplc="041D0001">
      <w:start w:val="1"/>
      <w:numFmt w:val="bullet"/>
      <w:lvlText w:val=""/>
      <w:lvlJc w:val="left"/>
      <w:pPr>
        <w:ind w:left="5087" w:hanging="360"/>
      </w:pPr>
      <w:rPr>
        <w:rFonts w:ascii="Symbol" w:hAnsi="Symbol" w:hint="default"/>
      </w:rPr>
    </w:lvl>
    <w:lvl w:ilvl="7" w:tplc="041D0003">
      <w:start w:val="1"/>
      <w:numFmt w:val="bullet"/>
      <w:lvlText w:val="o"/>
      <w:lvlJc w:val="left"/>
      <w:pPr>
        <w:ind w:left="5807" w:hanging="360"/>
      </w:pPr>
      <w:rPr>
        <w:rFonts w:ascii="Courier New" w:hAnsi="Courier New" w:cs="Courier New" w:hint="default"/>
      </w:rPr>
    </w:lvl>
    <w:lvl w:ilvl="8" w:tplc="041D0005">
      <w:start w:val="1"/>
      <w:numFmt w:val="bullet"/>
      <w:lvlText w:val=""/>
      <w:lvlJc w:val="left"/>
      <w:pPr>
        <w:ind w:left="6527" w:hanging="360"/>
      </w:pPr>
      <w:rPr>
        <w:rFonts w:ascii="Wingdings" w:hAnsi="Wingdings" w:hint="default"/>
      </w:rPr>
    </w:lvl>
  </w:abstractNum>
  <w:abstractNum w:abstractNumId="29">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8C5325"/>
    <w:multiLevelType w:val="hybridMultilevel"/>
    <w:tmpl w:val="FB9AD442"/>
    <w:lvl w:ilvl="0" w:tplc="DB4EECCC">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29A48E7"/>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811BA2"/>
    <w:multiLevelType w:val="hybridMultilevel"/>
    <w:tmpl w:val="B832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BED18BC"/>
    <w:multiLevelType w:val="multilevel"/>
    <w:tmpl w:val="D18A1F64"/>
    <w:lvl w:ilvl="0">
      <w:start w:val="1"/>
      <w:numFmt w:val="decimal"/>
      <w:lvlText w:val="%1."/>
      <w:lvlJc w:val="left"/>
      <w:pPr>
        <w:tabs>
          <w:tab w:val="num" w:pos="2835"/>
        </w:tabs>
        <w:ind w:left="2835" w:hanging="567"/>
      </w:pPr>
      <w:rPr>
        <w:strike w:val="0"/>
        <w:dstrike w:val="0"/>
        <w:u w:val="none"/>
        <w:effect w:val="none"/>
      </w:rPr>
    </w:lvl>
    <w:lvl w:ilvl="1">
      <w:start w:val="1"/>
      <w:numFmt w:val="decimal"/>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35"/>
  </w:num>
  <w:num w:numId="2">
    <w:abstractNumId w:val="37"/>
  </w:num>
  <w:num w:numId="3">
    <w:abstractNumId w:val="15"/>
  </w:num>
  <w:num w:numId="4">
    <w:abstractNumId w:val="31"/>
  </w:num>
  <w:num w:numId="5">
    <w:abstractNumId w:val="18"/>
  </w:num>
  <w:num w:numId="6">
    <w:abstractNumId w:val="19"/>
  </w:num>
  <w:num w:numId="7">
    <w:abstractNumId w:val="17"/>
  </w:num>
  <w:num w:numId="8">
    <w:abstractNumId w:val="36"/>
  </w:num>
  <w:num w:numId="9">
    <w:abstractNumId w:val="13"/>
  </w:num>
  <w:num w:numId="10">
    <w:abstractNumId w:val="8"/>
  </w:num>
  <w:num w:numId="11">
    <w:abstractNumId w:val="7"/>
  </w:num>
  <w:num w:numId="12">
    <w:abstractNumId w:val="21"/>
  </w:num>
  <w:num w:numId="13">
    <w:abstractNumId w:val="26"/>
  </w:num>
  <w:num w:numId="14">
    <w:abstractNumId w:val="12"/>
  </w:num>
  <w:num w:numId="15">
    <w:abstractNumId w:val="6"/>
  </w:num>
  <w:num w:numId="16">
    <w:abstractNumId w:val="33"/>
  </w:num>
  <w:num w:numId="17">
    <w:abstractNumId w:val="25"/>
  </w:num>
  <w:num w:numId="18">
    <w:abstractNumId w:val="29"/>
  </w:num>
  <w:num w:numId="19">
    <w:abstractNumId w:val="27"/>
  </w:num>
  <w:num w:numId="20">
    <w:abstractNumId w:val="14"/>
  </w:num>
  <w:num w:numId="21">
    <w:abstractNumId w:val="4"/>
  </w:num>
  <w:num w:numId="22">
    <w:abstractNumId w:val="2"/>
  </w:num>
  <w:num w:numId="23">
    <w:abstractNumId w:val="2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22"/>
  </w:num>
  <w:num w:numId="27">
    <w:abstractNumId w:val="1"/>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3"/>
  </w:num>
  <w:num w:numId="35">
    <w:abstractNumId w:val="9"/>
  </w:num>
  <w:num w:numId="36">
    <w:abstractNumId w:val="32"/>
  </w:num>
  <w:num w:numId="37">
    <w:abstractNumId w:val="11"/>
  </w:num>
  <w:num w:numId="38">
    <w:abstractNumId w:val="10"/>
  </w:num>
  <w:num w:numId="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2C6F"/>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15F"/>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6E2"/>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4FA"/>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3A"/>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28DD"/>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149"/>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D26"/>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014"/>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3E8B"/>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1E3E"/>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6A2"/>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0CF"/>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2D"/>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884"/>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46A9"/>
    <w:rsid w:val="00AA52D8"/>
    <w:rsid w:val="00AA5C17"/>
    <w:rsid w:val="00AA5FCB"/>
    <w:rsid w:val="00AA6323"/>
    <w:rsid w:val="00AA6650"/>
    <w:rsid w:val="00AA7331"/>
    <w:rsid w:val="00AA788D"/>
    <w:rsid w:val="00AB03A7"/>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6D2"/>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3B6"/>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664"/>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8D5"/>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CF7BAC"/>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358"/>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2B5D"/>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6FB1"/>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CD"/>
    <w:rsid w:val="00FC20CC"/>
    <w:rsid w:val="00FC2449"/>
    <w:rsid w:val="00FC25A6"/>
    <w:rsid w:val="00FC2627"/>
    <w:rsid w:val="00FC29CF"/>
    <w:rsid w:val="00FC2F14"/>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3061577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3FCF0-9086-493A-A7B1-4C8F5F00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1125</Words>
  <Characters>6415</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7</cp:revision>
  <cp:lastPrinted>2010-04-02T09:58:00Z</cp:lastPrinted>
  <dcterms:created xsi:type="dcterms:W3CDTF">2018-04-04T01:36:00Z</dcterms:created>
  <dcterms:modified xsi:type="dcterms:W3CDTF">2018-04-06T02:01:00Z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